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7E" w:rsidRPr="00651A32" w:rsidRDefault="00E9117E" w:rsidP="00E9117E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651A32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E9117E" w:rsidRPr="00651A32" w:rsidRDefault="00E9117E" w:rsidP="00E9117E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651A3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9117E" w:rsidRPr="00651A32" w:rsidRDefault="00E9117E" w:rsidP="00E9117E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117E" w:rsidRPr="00651A32" w:rsidRDefault="00E9117E" w:rsidP="00E9117E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51A32">
        <w:rPr>
          <w:rFonts w:ascii="Times New Roman" w:hAnsi="Times New Roman"/>
          <w:b/>
          <w:bCs/>
          <w:sz w:val="28"/>
          <w:szCs w:val="28"/>
        </w:rPr>
        <w:t>ДУМА</w:t>
      </w:r>
    </w:p>
    <w:p w:rsidR="00E9117E" w:rsidRPr="00651A32" w:rsidRDefault="00E9117E" w:rsidP="00E9117E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117E" w:rsidRPr="00651A32" w:rsidRDefault="00E9117E" w:rsidP="00E9117E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651A32">
        <w:rPr>
          <w:rFonts w:ascii="Times New Roman" w:hAnsi="Times New Roman"/>
          <w:b/>
          <w:sz w:val="28"/>
          <w:szCs w:val="28"/>
        </w:rPr>
        <w:t>РЕШЕНИЕ</w:t>
      </w:r>
    </w:p>
    <w:p w:rsidR="00E9117E" w:rsidRPr="00651A32" w:rsidRDefault="00E9117E" w:rsidP="00E9117E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BB532A" w:rsidRDefault="00E9117E" w:rsidP="006B7BC4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32A">
        <w:rPr>
          <w:rFonts w:ascii="Times New Roman" w:hAnsi="Times New Roman" w:cs="Times New Roman"/>
          <w:sz w:val="28"/>
          <w:szCs w:val="28"/>
        </w:rPr>
        <w:t xml:space="preserve">№ </w:t>
      </w:r>
      <w:r w:rsidR="006B7BC4">
        <w:rPr>
          <w:rFonts w:ascii="Times New Roman" w:hAnsi="Times New Roman" w:cs="Times New Roman"/>
          <w:sz w:val="28"/>
          <w:szCs w:val="28"/>
        </w:rPr>
        <w:t>651</w:t>
      </w:r>
    </w:p>
    <w:p w:rsidR="00BB532A" w:rsidRDefault="00BB532A" w:rsidP="00BB532A">
      <w:pPr>
        <w:rPr>
          <w:rFonts w:ascii="Times New Roman" w:hAnsi="Times New Roman" w:cs="Times New Roman"/>
          <w:bCs/>
          <w:sz w:val="28"/>
          <w:szCs w:val="28"/>
        </w:rPr>
      </w:pPr>
    </w:p>
    <w:p w:rsidR="00F668A6" w:rsidRDefault="00BB532A" w:rsidP="00BB532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F668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 информации 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деятельности </w:t>
      </w:r>
    </w:p>
    <w:p w:rsidR="00F668A6" w:rsidRDefault="00F668A6" w:rsidP="00BB532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BB53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B53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комиссии по делам </w:t>
      </w:r>
    </w:p>
    <w:p w:rsidR="00F668A6" w:rsidRDefault="00BB532A" w:rsidP="00BB532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несовершеннолетних и защите их прав </w:t>
      </w:r>
    </w:p>
    <w:p w:rsidR="00BB532A" w:rsidRDefault="00BB532A" w:rsidP="00BB532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Ханты-Мансийском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районе за 2019 год</w:t>
      </w:r>
    </w:p>
    <w:p w:rsidR="00BB532A" w:rsidRDefault="00BB532A" w:rsidP="00BB532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B532A" w:rsidRDefault="00E9117E" w:rsidP="00BB532A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7E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32A" w:rsidRPr="00857DDF">
        <w:rPr>
          <w:rFonts w:ascii="Times New Roman" w:hAnsi="Times New Roman"/>
          <w:sz w:val="28"/>
          <w:szCs w:val="28"/>
        </w:rPr>
        <w:t>заслушав информацию</w:t>
      </w:r>
      <w:r w:rsidR="00BB532A" w:rsidRPr="003451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B53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деятельности муниципальной комиссии по делам несовершеннолетних и защите их прав </w:t>
      </w:r>
      <w:proofErr w:type="gramStart"/>
      <w:r w:rsidR="00BB53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proofErr w:type="gramEnd"/>
      <w:r w:rsidR="00BB53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BB53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Ханты-Мансийском</w:t>
      </w:r>
      <w:proofErr w:type="gramEnd"/>
      <w:r w:rsidR="00BB53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районе за 2019 год</w:t>
      </w:r>
      <w:r w:rsidR="00BB532A" w:rsidRPr="00857DDF">
        <w:rPr>
          <w:rFonts w:ascii="Times New Roman" w:hAnsi="Times New Roman"/>
          <w:sz w:val="28"/>
          <w:szCs w:val="28"/>
        </w:rPr>
        <w:t>, руководствуясь частью 1 статьи 31 Устава Ханты-Мансийского района</w:t>
      </w:r>
      <w:r w:rsidR="00BB532A">
        <w:rPr>
          <w:rFonts w:ascii="Times New Roman" w:hAnsi="Times New Roman"/>
          <w:sz w:val="28"/>
          <w:szCs w:val="28"/>
        </w:rPr>
        <w:t>,</w:t>
      </w:r>
    </w:p>
    <w:p w:rsidR="00E9117E" w:rsidRDefault="00E9117E" w:rsidP="00BB532A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BB53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BB532A" w:rsidRDefault="00BB532A" w:rsidP="00BB53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32A" w:rsidRDefault="00BB532A" w:rsidP="00BB53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B532A" w:rsidRDefault="00BB532A" w:rsidP="00BB53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BB532A">
      <w:pPr>
        <w:pStyle w:val="ab"/>
        <w:ind w:firstLine="709"/>
        <w:rPr>
          <w:rStyle w:val="FontStyle48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E9117E" w:rsidRPr="00E9117E">
        <w:rPr>
          <w:rFonts w:ascii="Times New Roman" w:hAnsi="Times New Roman" w:cs="Times New Roman"/>
          <w:bCs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информацию о деятельности муниципальной комиссии по делам несовершеннолетних и защите их прав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районе за 2019 год согласно приложению к настоящему решению.</w:t>
      </w:r>
    </w:p>
    <w:p w:rsidR="00BB532A" w:rsidRDefault="00BB532A" w:rsidP="00BB53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BB53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BB532A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B532A" w:rsidRDefault="00E9117E" w:rsidP="00E9117E">
      <w:pPr>
        <w:tabs>
          <w:tab w:val="left" w:pos="79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32A">
        <w:rPr>
          <w:rFonts w:ascii="Times New Roman" w:hAnsi="Times New Roman" w:cs="Times New Roman"/>
          <w:sz w:val="28"/>
          <w:szCs w:val="28"/>
        </w:rPr>
        <w:t>П.Н. Захаров</w:t>
      </w:r>
    </w:p>
    <w:p w:rsidR="00BB532A" w:rsidRDefault="006B7BC4" w:rsidP="00BB532A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</w:t>
      </w:r>
    </w:p>
    <w:p w:rsidR="00BB532A" w:rsidRDefault="00BB532A" w:rsidP="00BB532A"/>
    <w:p w:rsidR="00AE52E4" w:rsidRDefault="00AE52E4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9117E" w:rsidRDefault="00E9117E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9117E" w:rsidRDefault="00E9117E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9117E" w:rsidRDefault="00E9117E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9117E" w:rsidRDefault="00E9117E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9117E" w:rsidRDefault="00E9117E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5207B" w:rsidRPr="003909AB" w:rsidRDefault="0095207B" w:rsidP="0095207B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3909AB" w:rsidRDefault="0095207B" w:rsidP="00952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909AB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3909AB" w:rsidRDefault="0095207B" w:rsidP="00952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909A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3909AB" w:rsidRDefault="00E9117E" w:rsidP="00952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25.09.2020</w:t>
      </w:r>
      <w:r w:rsidR="00007473">
        <w:rPr>
          <w:rFonts w:ascii="Times New Roman" w:hAnsi="Times New Roman" w:cs="Times New Roman"/>
          <w:sz w:val="28"/>
          <w:szCs w:val="28"/>
        </w:rPr>
        <w:t xml:space="preserve"> № </w:t>
      </w:r>
      <w:r w:rsidR="006B7BC4">
        <w:rPr>
          <w:rFonts w:ascii="Times New Roman" w:hAnsi="Times New Roman" w:cs="Times New Roman"/>
          <w:sz w:val="28"/>
          <w:szCs w:val="28"/>
        </w:rPr>
        <w:t>651</w:t>
      </w:r>
      <w:bookmarkStart w:id="0" w:name="_GoBack"/>
      <w:bookmarkEnd w:id="0"/>
    </w:p>
    <w:p w:rsidR="0095207B" w:rsidRPr="003909AB" w:rsidRDefault="0095207B" w:rsidP="00F94F86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4C6" w:rsidRPr="007324C6" w:rsidRDefault="007324C6" w:rsidP="00F94F86">
      <w:pPr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7324C6">
        <w:rPr>
          <w:rFonts w:ascii="Times New Roman" w:hAnsi="Times New Roman" w:cs="Times New Roman"/>
          <w:bCs/>
          <w:noProof/>
          <w:sz w:val="28"/>
          <w:szCs w:val="28"/>
        </w:rPr>
        <w:t xml:space="preserve">Информация </w:t>
      </w:r>
    </w:p>
    <w:p w:rsidR="00F94F86" w:rsidRPr="007324C6" w:rsidRDefault="007324C6" w:rsidP="00F94F86">
      <w:pPr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7324C6">
        <w:rPr>
          <w:rFonts w:ascii="Times New Roman" w:hAnsi="Times New Roman" w:cs="Times New Roman"/>
          <w:bCs/>
          <w:noProof/>
          <w:sz w:val="28"/>
          <w:szCs w:val="28"/>
        </w:rPr>
        <w:t>о деятельности муниципальной комиссии по делам несовершеннолетних и защите их прав в Ханты-Мансийском районе за 2019 год</w:t>
      </w:r>
    </w:p>
    <w:p w:rsidR="007324C6" w:rsidRPr="00962241" w:rsidRDefault="007324C6" w:rsidP="00F94F8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4F86" w:rsidRPr="00962241" w:rsidRDefault="00BB532A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94F86" w:rsidRPr="00962241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F94F86" w:rsidRPr="00962241">
        <w:rPr>
          <w:rFonts w:ascii="Times New Roman" w:hAnsi="Times New Roman" w:cs="Times New Roman"/>
          <w:noProof/>
          <w:sz w:val="28"/>
          <w:szCs w:val="28"/>
        </w:rPr>
        <w:t>муниципальных комиссий по делам несовершеннолетних и защите их прав в Ханты-Мансийском районе и сельском поселении Горноправдинск</w:t>
      </w:r>
      <w:r w:rsidR="00F94F86" w:rsidRPr="0096224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F02FC">
        <w:rPr>
          <w:rFonts w:ascii="Times New Roman" w:hAnsi="Times New Roman" w:cs="Times New Roman"/>
          <w:noProof/>
          <w:sz w:val="28"/>
          <w:szCs w:val="28"/>
        </w:rPr>
        <w:t>(д</w:t>
      </w:r>
      <w:r w:rsidR="00957A74">
        <w:rPr>
          <w:rFonts w:ascii="Times New Roman" w:hAnsi="Times New Roman" w:cs="Times New Roman"/>
          <w:noProof/>
          <w:sz w:val="28"/>
          <w:szCs w:val="28"/>
        </w:rPr>
        <w:t>алее – Мунипальная комис</w:t>
      </w:r>
      <w:r w:rsidR="007324C6">
        <w:rPr>
          <w:rFonts w:ascii="Times New Roman" w:hAnsi="Times New Roman" w:cs="Times New Roman"/>
          <w:noProof/>
          <w:sz w:val="28"/>
          <w:szCs w:val="28"/>
        </w:rPr>
        <w:t>с</w:t>
      </w:r>
      <w:r w:rsidR="00C9667B" w:rsidRPr="00C9667B">
        <w:rPr>
          <w:rFonts w:ascii="Times New Roman" w:hAnsi="Times New Roman" w:cs="Times New Roman"/>
          <w:noProof/>
          <w:sz w:val="28"/>
          <w:szCs w:val="28"/>
        </w:rPr>
        <w:t>ия)</w:t>
      </w:r>
      <w:r w:rsidR="00C9667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94F86" w:rsidRPr="00962241">
        <w:rPr>
          <w:rFonts w:ascii="Times New Roman" w:hAnsi="Times New Roman" w:cs="Times New Roman"/>
          <w:sz w:val="28"/>
          <w:szCs w:val="28"/>
        </w:rPr>
        <w:t>подготовлен</w:t>
      </w:r>
      <w:r w:rsidR="006B7BC4">
        <w:rPr>
          <w:rFonts w:ascii="Times New Roman" w:hAnsi="Times New Roman" w:cs="Times New Roman"/>
          <w:sz w:val="28"/>
          <w:szCs w:val="28"/>
        </w:rPr>
        <w:t>а</w:t>
      </w:r>
      <w:r w:rsidR="00F94F86" w:rsidRPr="00962241">
        <w:rPr>
          <w:rFonts w:ascii="Times New Roman" w:hAnsi="Times New Roman" w:cs="Times New Roman"/>
          <w:sz w:val="28"/>
          <w:szCs w:val="28"/>
        </w:rPr>
        <w:t xml:space="preserve"> во исполнение п. 6 постановления комиссии по делам несовершеннолетних и защите их прав при правительстве Ханты-Мансийского автономного округа – Югры от 21.12.2018 № 266.</w:t>
      </w:r>
    </w:p>
    <w:p w:rsidR="00F94F86" w:rsidRPr="00962241" w:rsidRDefault="00BB532A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94F86" w:rsidRPr="00962241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F86" w:rsidRPr="00962241">
        <w:rPr>
          <w:rFonts w:ascii="Times New Roman" w:hAnsi="Times New Roman" w:cs="Times New Roman"/>
          <w:sz w:val="28"/>
          <w:szCs w:val="28"/>
        </w:rPr>
        <w:t xml:space="preserve"> с учетом положений Закона Ханты-Мансийского автономного округа – Югры от 12.10.2005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 Постановления администрации Ханты-Мансийского района от 28.12.2018 № 376 </w:t>
      </w:r>
      <w:r w:rsidR="00F94F86" w:rsidRPr="00962241">
        <w:rPr>
          <w:rFonts w:ascii="Times New Roman" w:hAnsi="Times New Roman" w:cs="Times New Roman"/>
          <w:sz w:val="28"/>
          <w:szCs w:val="28"/>
        </w:rPr>
        <w:br/>
        <w:t xml:space="preserve">«О муниципальных комиссиях по делам несовершеннолетних и защите их прав». </w:t>
      </w:r>
      <w:r w:rsidR="00F94F86" w:rsidRPr="00962241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ст. 5 Закона Ханты-Мансийского автономного округа – Югры от 12.10.2005 № 74-оз «О комиссиях по делам несовершеннолетних и защите их прав 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орган местного самоуправления на неограниченный срок наделен государственными полномочиями по созданию и осуществлению деятельности муниципальных комиссий по делам несовершеннолетних и защите их прав на территории Ханты-Мансийского района. </w:t>
      </w:r>
    </w:p>
    <w:p w:rsidR="00F94F86" w:rsidRPr="00962241" w:rsidRDefault="00F94F86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224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в период до 28.12.2018 на территории Ханты-Мансийского района осуществляла деятельность одна комиссия по делам несовершеннолетних и защите их прав при администрации Ханты-Мансийского района, которая имела два состава, один из которых осуществлял деятельность на территории сельского поселения Горноправдинск, численность населения в котором свыше 3000 человек.</w:t>
      </w:r>
      <w:proofErr w:type="gramEnd"/>
    </w:p>
    <w:p w:rsidR="00F94F86" w:rsidRPr="00962241" w:rsidRDefault="00F94F86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24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28.12.2018 № 376 «О муниципальных комиссиях по делам несовершеннолетних и защите их прав» в Ханты-Мансийском районе созданы две муниципальные комиссии по делам несовершеннолетних и защите их прав:</w:t>
      </w:r>
    </w:p>
    <w:p w:rsidR="00F94F86" w:rsidRPr="00962241" w:rsidRDefault="00FD1556" w:rsidP="00F94F8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4F86" w:rsidRPr="00962241">
        <w:rPr>
          <w:rFonts w:ascii="Times New Roman" w:hAnsi="Times New Roman" w:cs="Times New Roman"/>
          <w:sz w:val="28"/>
          <w:szCs w:val="28"/>
        </w:rPr>
        <w:t xml:space="preserve">униципальная комиссия по делам несовершеннолетних и защите их прав в Ханты-Мансийском районе, осуществляющая деятельность на территории </w:t>
      </w:r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сельских поселений </w:t>
      </w:r>
      <w:proofErr w:type="spell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Выкатной</w:t>
      </w:r>
      <w:proofErr w:type="spellEnd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Кедровый</w:t>
      </w:r>
      <w:proofErr w:type="gramEnd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Красноленинский</w:t>
      </w:r>
      <w:proofErr w:type="spellEnd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Кышик</w:t>
      </w:r>
      <w:proofErr w:type="spellEnd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Луговской</w:t>
      </w:r>
      <w:proofErr w:type="spellEnd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</w:t>
      </w:r>
      <w:proofErr w:type="spellEnd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Селиярово</w:t>
      </w:r>
      <w:proofErr w:type="spellEnd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Сибирский, </w:t>
      </w:r>
      <w:proofErr w:type="spell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Согом</w:t>
      </w:r>
      <w:proofErr w:type="spellEnd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94F86" w:rsidRPr="00962241">
        <w:rPr>
          <w:rFonts w:ascii="Times New Roman" w:hAnsi="Times New Roman" w:cs="Times New Roman"/>
          <w:sz w:val="28"/>
          <w:szCs w:val="28"/>
          <w:shd w:val="clear" w:color="auto" w:fill="FFFFFF"/>
        </w:rPr>
        <w:t>Цинга</w:t>
      </w:r>
      <w:r w:rsidR="007324C6">
        <w:rPr>
          <w:rFonts w:ascii="Times New Roman" w:hAnsi="Times New Roman" w:cs="Times New Roman"/>
          <w:sz w:val="28"/>
          <w:szCs w:val="28"/>
          <w:shd w:val="clear" w:color="auto" w:fill="FFFFFF"/>
        </w:rPr>
        <w:t>лы</w:t>
      </w:r>
      <w:proofErr w:type="spellEnd"/>
      <w:r w:rsidR="007324C6">
        <w:rPr>
          <w:rFonts w:ascii="Times New Roman" w:hAnsi="Times New Roman" w:cs="Times New Roman"/>
          <w:sz w:val="28"/>
          <w:szCs w:val="28"/>
          <w:shd w:val="clear" w:color="auto" w:fill="FFFFFF"/>
        </w:rPr>
        <w:t>, Шапша;</w:t>
      </w:r>
    </w:p>
    <w:p w:rsidR="00F94F86" w:rsidRPr="00962241" w:rsidRDefault="00FD1556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4F86" w:rsidRPr="00962241">
        <w:rPr>
          <w:rFonts w:ascii="Times New Roman" w:hAnsi="Times New Roman" w:cs="Times New Roman"/>
          <w:sz w:val="28"/>
          <w:szCs w:val="28"/>
        </w:rPr>
        <w:t>униципальная комиссия по делам несовершеннолетних и защите их прав в сельском поселении Горноправдинск, осуществляющая деятельность на территории сельского поселения Горноправдинск.</w:t>
      </w:r>
    </w:p>
    <w:p w:rsidR="00F94F86" w:rsidRPr="00962241" w:rsidRDefault="00F94F86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241">
        <w:rPr>
          <w:rFonts w:ascii="Times New Roman" w:hAnsi="Times New Roman" w:cs="Times New Roman"/>
          <w:sz w:val="28"/>
          <w:szCs w:val="28"/>
        </w:rPr>
        <w:t>Для организацио</w:t>
      </w:r>
      <w:r w:rsidR="00C9667B">
        <w:rPr>
          <w:rFonts w:ascii="Times New Roman" w:hAnsi="Times New Roman" w:cs="Times New Roman"/>
          <w:sz w:val="28"/>
          <w:szCs w:val="28"/>
        </w:rPr>
        <w:t>нного обеспечения деятельности М</w:t>
      </w:r>
      <w:r w:rsidRPr="00962241">
        <w:rPr>
          <w:rFonts w:ascii="Times New Roman" w:hAnsi="Times New Roman" w:cs="Times New Roman"/>
          <w:sz w:val="28"/>
          <w:szCs w:val="28"/>
        </w:rPr>
        <w:t>униципальн</w:t>
      </w:r>
      <w:r w:rsidR="00C9667B">
        <w:rPr>
          <w:rFonts w:ascii="Times New Roman" w:hAnsi="Times New Roman" w:cs="Times New Roman"/>
          <w:sz w:val="28"/>
          <w:szCs w:val="28"/>
        </w:rPr>
        <w:t>ой</w:t>
      </w:r>
      <w:r w:rsidRPr="00962241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C9667B">
        <w:rPr>
          <w:rFonts w:ascii="Times New Roman" w:hAnsi="Times New Roman" w:cs="Times New Roman"/>
          <w:sz w:val="28"/>
          <w:szCs w:val="28"/>
        </w:rPr>
        <w:t>ии</w:t>
      </w:r>
      <w:r w:rsidRPr="00962241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 создан отдел организационного обеспечения деятельности муниципальных комиссий по делам несовершеннолетних и защите их прав, который является органом администрации Ханты-Мансийского района, обеспечивающим организационное обеспечение.</w:t>
      </w:r>
    </w:p>
    <w:p w:rsidR="00F94F86" w:rsidRDefault="00F94F86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241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деятельности отдела и </w:t>
      </w:r>
      <w:r w:rsidR="00C966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2241">
        <w:rPr>
          <w:rFonts w:ascii="Times New Roman" w:hAnsi="Times New Roman" w:cs="Times New Roman"/>
          <w:sz w:val="28"/>
          <w:szCs w:val="28"/>
        </w:rPr>
        <w:t>комиссии осуществляется за счет средств бюджета автономного округа – Югры в виде субвенции.</w:t>
      </w:r>
    </w:p>
    <w:p w:rsidR="007324C6" w:rsidRDefault="007324C6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982"/>
        <w:gridCol w:w="3091"/>
        <w:gridCol w:w="3975"/>
      </w:tblGrid>
      <w:tr w:rsidR="00F94F86" w:rsidTr="00903576">
        <w:trPr>
          <w:trHeight w:val="839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6" w:rsidRPr="00962241" w:rsidRDefault="00962241" w:rsidP="00962241">
            <w:pPr>
              <w:ind w:right="-9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94F86" w:rsidRPr="00962241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  <w:p w:rsidR="00F94F86" w:rsidRDefault="006925BF" w:rsidP="000E289A">
            <w:r>
              <w:rPr>
                <w:noProof/>
                <w:lang w:eastAsia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206.55pt;margin-top:-1.15pt;width:38.25pt;height:25.5pt;z-index:251658752">
                  <v:textbox style="layout-flow:vertical-ideographic"/>
                </v:shape>
              </w:pict>
            </w:r>
          </w:p>
          <w:p w:rsidR="00F94F86" w:rsidRDefault="00F94F86" w:rsidP="000E289A"/>
        </w:tc>
      </w:tr>
      <w:tr w:rsidR="00F94F86" w:rsidTr="00903576">
        <w:trPr>
          <w:trHeight w:val="1116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6" w:rsidRPr="00962241" w:rsidRDefault="00F94F86" w:rsidP="0096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деятельности муниципальных комиссии по делам несовершеннолетних администрации Ханты-Мансийского района</w:t>
            </w:r>
          </w:p>
          <w:p w:rsidR="00F94F86" w:rsidRDefault="006925BF" w:rsidP="000E289A">
            <w:r>
              <w:rPr>
                <w:noProof/>
                <w:lang w:eastAsia="en-US"/>
              </w:rPr>
              <w:pict>
                <v:shape id="_x0000_s1027" type="#_x0000_t67" style="position:absolute;margin-left:206.55pt;margin-top:.15pt;width:38.25pt;height:25.5pt;z-index:251659776">
                  <v:textbox style="layout-flow:vertical-ideographic"/>
                </v:shape>
              </w:pict>
            </w:r>
          </w:p>
          <w:p w:rsidR="00F94F86" w:rsidRDefault="00F94F86" w:rsidP="000E289A"/>
        </w:tc>
      </w:tr>
      <w:tr w:rsidR="00F94F86" w:rsidTr="00903576">
        <w:trPr>
          <w:trHeight w:val="1411"/>
        </w:trPr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F94F86" w:rsidRPr="00962241" w:rsidRDefault="006925BF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8" type="#_x0000_t67" style="position:absolute;margin-left:56.55pt;margin-top:6.25pt;width:38.25pt;height:25.5pt;z-index:251660800">
                  <v:textbox style="layout-flow:vertical-ideographic"/>
                </v:shape>
              </w:pict>
            </w:r>
          </w:p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F94F86" w:rsidRPr="00962241" w:rsidRDefault="006925BF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2" type="#_x0000_t67" style="position:absolute;margin-left:177.8pt;margin-top:6.25pt;width:38.25pt;height:25.5pt;z-index:251657728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1" type="#_x0000_t67" style="position:absolute;margin-left:100.55pt;margin-top:6.25pt;width:38.25pt;height:25.5pt;z-index:251656704">
                  <v:textbox style="layout-flow:vertical-ideographic"/>
                </v:shape>
              </w:pict>
            </w:r>
          </w:p>
        </w:tc>
      </w:tr>
      <w:tr w:rsidR="00F94F86" w:rsidTr="00903576">
        <w:trPr>
          <w:trHeight w:val="254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Ханты-Мансийского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делам несовершеннолетних и защите их прав в Ханты-Мансийском районе, </w:t>
            </w: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сельских поселений</w:t>
            </w:r>
          </w:p>
          <w:p w:rsidR="00F94F86" w:rsidRPr="00962241" w:rsidRDefault="006925BF" w:rsidP="000E28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67" style="position:absolute;margin-left:54.2pt;margin-top:11.9pt;width:38.25pt;height:25.5pt;z-index:251654656">
                  <v:textbox style="layout-flow:vertical-ideographic"/>
                </v:shape>
              </w:pict>
            </w:r>
          </w:p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комиссии   по   делам несовершеннолетних   и защите их прав в сельском поселении Горноправдинск, численность населения которого свыше 3000 человек</w:t>
            </w:r>
          </w:p>
          <w:p w:rsidR="00F94F86" w:rsidRPr="00962241" w:rsidRDefault="006925BF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0" type="#_x0000_t67" style="position:absolute;margin-left:53pt;margin-top:5.45pt;width:38.25pt;height:25.5pt;z-index:251655680">
                  <v:textbox style="layout-flow:vertical-ideographic"/>
                </v:shape>
              </w:pict>
            </w:r>
          </w:p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86" w:rsidTr="00903576">
        <w:trPr>
          <w:trHeight w:val="280"/>
        </w:trPr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4F86" w:rsidRDefault="00F94F86" w:rsidP="000E289A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Выкатной,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Кедровый,         Красноленинский,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Кышик,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Луговской,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Нялинское</w:t>
            </w:r>
            <w:proofErr w:type="spellEnd"/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Селиярово</w:t>
            </w:r>
            <w:proofErr w:type="spellEnd"/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Сибирский,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Согом,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Цингалы,</w:t>
            </w: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Шапша</w:t>
            </w:r>
          </w:p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6" w:rsidRPr="00962241" w:rsidRDefault="00F94F86" w:rsidP="000E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6" w:rsidRPr="00962241" w:rsidRDefault="00F94F86" w:rsidP="000E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41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</w:tbl>
    <w:p w:rsidR="00F94F86" w:rsidRPr="00B07B31" w:rsidRDefault="00F94F86" w:rsidP="00F94F86"/>
    <w:p w:rsidR="00F94F86" w:rsidRPr="00962241" w:rsidRDefault="00F94F86" w:rsidP="00F94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41">
        <w:rPr>
          <w:rFonts w:ascii="Times New Roman" w:hAnsi="Times New Roman" w:cs="Times New Roman"/>
          <w:sz w:val="28"/>
          <w:szCs w:val="28"/>
        </w:rPr>
        <w:lastRenderedPageBreak/>
        <w:t>Цель Муниципальн</w:t>
      </w:r>
      <w:r w:rsidR="00C9667B">
        <w:rPr>
          <w:rFonts w:ascii="Times New Roman" w:hAnsi="Times New Roman" w:cs="Times New Roman"/>
          <w:sz w:val="28"/>
          <w:szCs w:val="28"/>
        </w:rPr>
        <w:t>ой</w:t>
      </w:r>
      <w:r w:rsidRPr="009622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9667B">
        <w:rPr>
          <w:rFonts w:ascii="Times New Roman" w:hAnsi="Times New Roman" w:cs="Times New Roman"/>
          <w:sz w:val="28"/>
          <w:szCs w:val="28"/>
        </w:rPr>
        <w:t>и</w:t>
      </w:r>
      <w:r w:rsidRPr="00962241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–</w:t>
      </w:r>
      <w:r w:rsidR="008E44DE">
        <w:rPr>
          <w:rFonts w:ascii="Times New Roman" w:hAnsi="Times New Roman" w:cs="Times New Roman"/>
          <w:sz w:val="28"/>
          <w:szCs w:val="28"/>
        </w:rPr>
        <w:t xml:space="preserve"> </w:t>
      </w:r>
      <w:r w:rsidRPr="00962241">
        <w:rPr>
          <w:rFonts w:ascii="Times New Roman" w:hAnsi="Times New Roman" w:cs="Times New Roman"/>
          <w:sz w:val="28"/>
          <w:szCs w:val="28"/>
        </w:rPr>
        <w:t>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94F86" w:rsidRPr="00574F45" w:rsidRDefault="00F94F86" w:rsidP="008E44D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22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2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24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62241">
        <w:rPr>
          <w:rFonts w:ascii="Times New Roman" w:hAnsi="Times New Roman" w:cs="Times New Roman"/>
          <w:sz w:val="28"/>
          <w:szCs w:val="28"/>
        </w:rPr>
        <w:t xml:space="preserve"> районе по состоянию на 01.01.2020 постоянно проживает несовершеннолетних:</w:t>
      </w:r>
    </w:p>
    <w:p w:rsidR="00903576" w:rsidRPr="00574F45" w:rsidRDefault="00903576" w:rsidP="008E44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4F86" w:rsidRDefault="00F94F86" w:rsidP="00F94F86">
      <w:pPr>
        <w:pStyle w:val="ConsPlusNormal"/>
        <w:ind w:firstLine="709"/>
        <w:jc w:val="both"/>
      </w:pPr>
      <w:r w:rsidRPr="00962241">
        <w:rPr>
          <w:rFonts w:ascii="Times New Roman" w:hAnsi="Times New Roman" w:cs="Times New Roman"/>
          <w:noProof/>
        </w:rPr>
        <w:drawing>
          <wp:inline distT="0" distB="0" distL="0" distR="0" wp14:anchorId="726E4CEF" wp14:editId="0C8A60E4">
            <wp:extent cx="5575069" cy="1778924"/>
            <wp:effectExtent l="0" t="19050" r="6985" b="0"/>
            <wp:docPr id="1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F86" w:rsidRPr="00903576" w:rsidRDefault="00F94F86" w:rsidP="00F94F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667B" w:rsidRPr="00903576" w:rsidRDefault="00F94F86" w:rsidP="00753D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241">
        <w:rPr>
          <w:rFonts w:ascii="Times New Roman" w:hAnsi="Times New Roman" w:cs="Times New Roman"/>
          <w:sz w:val="28"/>
          <w:szCs w:val="28"/>
        </w:rPr>
        <w:t>Муниципальн</w:t>
      </w:r>
      <w:r w:rsidR="00C9667B">
        <w:rPr>
          <w:rFonts w:ascii="Times New Roman" w:hAnsi="Times New Roman" w:cs="Times New Roman"/>
          <w:sz w:val="28"/>
          <w:szCs w:val="28"/>
        </w:rPr>
        <w:t xml:space="preserve">ой </w:t>
      </w:r>
      <w:r w:rsidRPr="00962241">
        <w:rPr>
          <w:rFonts w:ascii="Times New Roman" w:hAnsi="Times New Roman" w:cs="Times New Roman"/>
          <w:sz w:val="28"/>
          <w:szCs w:val="28"/>
        </w:rPr>
        <w:t>комисс</w:t>
      </w:r>
      <w:r w:rsidR="00C9667B">
        <w:rPr>
          <w:rFonts w:ascii="Times New Roman" w:hAnsi="Times New Roman" w:cs="Times New Roman"/>
          <w:sz w:val="28"/>
          <w:szCs w:val="28"/>
        </w:rPr>
        <w:t>ией</w:t>
      </w:r>
      <w:r w:rsidRPr="00962241">
        <w:rPr>
          <w:rFonts w:ascii="Times New Roman" w:hAnsi="Times New Roman" w:cs="Times New Roman"/>
          <w:sz w:val="28"/>
          <w:szCs w:val="28"/>
        </w:rPr>
        <w:t xml:space="preserve"> ведется учет семей, находящихся в социально опасном положении:</w:t>
      </w:r>
    </w:p>
    <w:p w:rsidR="00903576" w:rsidRPr="00903576" w:rsidRDefault="00903576" w:rsidP="00753D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4F86" w:rsidRDefault="00F94F86" w:rsidP="00753D4D">
      <w:pPr>
        <w:ind w:firstLine="709"/>
      </w:pPr>
      <w:r w:rsidRPr="00962241">
        <w:rPr>
          <w:rFonts w:ascii="Times New Roman" w:hAnsi="Times New Roman" w:cs="Times New Roman"/>
          <w:sz w:val="28"/>
          <w:szCs w:val="28"/>
        </w:rPr>
        <w:t xml:space="preserve"> </w:t>
      </w:r>
      <w:r w:rsidRPr="002836B9">
        <w:rPr>
          <w:noProof/>
          <w:lang w:eastAsia="ru-RU"/>
        </w:rPr>
        <w:drawing>
          <wp:inline distT="0" distB="0" distL="0" distR="0" wp14:anchorId="33B3CC3E" wp14:editId="13AF2FF5">
            <wp:extent cx="5575069" cy="1795549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F86" w:rsidRDefault="00F94F86" w:rsidP="00F94F86">
      <w:pPr>
        <w:pStyle w:val="ConsPlusNormal"/>
        <w:ind w:firstLine="709"/>
        <w:jc w:val="both"/>
      </w:pPr>
    </w:p>
    <w:p w:rsidR="00CF3101" w:rsidRDefault="00CF3101" w:rsidP="00957A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F86" w:rsidRPr="00753D4D" w:rsidRDefault="00F94F86" w:rsidP="00F94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4D">
        <w:rPr>
          <w:rFonts w:ascii="Times New Roman" w:hAnsi="Times New Roman" w:cs="Times New Roman"/>
          <w:sz w:val="28"/>
          <w:szCs w:val="28"/>
        </w:rPr>
        <w:t xml:space="preserve">В отношении семей, находящихся в социально опасном положении организована межведомственная индивидуальная профилактическая работа, направленная на устранение причин и условий, способствующих нахождению семьи в социально опасном положении. </w:t>
      </w:r>
    </w:p>
    <w:p w:rsidR="00F94F86" w:rsidRPr="00753D4D" w:rsidRDefault="00F94F86" w:rsidP="00F94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4D">
        <w:rPr>
          <w:rFonts w:ascii="Times New Roman" w:hAnsi="Times New Roman" w:cs="Times New Roman"/>
          <w:sz w:val="28"/>
          <w:szCs w:val="28"/>
        </w:rPr>
        <w:t>Основны</w:t>
      </w:r>
      <w:r w:rsidR="007F02FC">
        <w:rPr>
          <w:rFonts w:ascii="Times New Roman" w:hAnsi="Times New Roman" w:cs="Times New Roman"/>
          <w:sz w:val="28"/>
          <w:szCs w:val="28"/>
        </w:rPr>
        <w:t>ми причинами включения семей в р</w:t>
      </w:r>
      <w:r w:rsidRPr="00753D4D">
        <w:rPr>
          <w:rFonts w:ascii="Times New Roman" w:hAnsi="Times New Roman" w:cs="Times New Roman"/>
          <w:sz w:val="28"/>
          <w:szCs w:val="28"/>
        </w:rPr>
        <w:t>еестр семей, находящихся в социально опасном положении, явились ненадлежащее исполнение родителями обязанностей по воспитанию, содержанию и развитию несов</w:t>
      </w:r>
      <w:r w:rsidR="007F02FC">
        <w:rPr>
          <w:rFonts w:ascii="Times New Roman" w:hAnsi="Times New Roman" w:cs="Times New Roman"/>
          <w:sz w:val="28"/>
          <w:szCs w:val="28"/>
        </w:rPr>
        <w:t>ершеннолетних</w:t>
      </w:r>
      <w:r w:rsidRPr="00753D4D">
        <w:rPr>
          <w:rFonts w:ascii="Times New Roman" w:hAnsi="Times New Roman" w:cs="Times New Roman"/>
          <w:sz w:val="28"/>
          <w:szCs w:val="28"/>
        </w:rPr>
        <w:t xml:space="preserve"> либо создавались условия, препятствующие нормальному воспитанию.</w:t>
      </w:r>
    </w:p>
    <w:p w:rsidR="00753D4D" w:rsidRDefault="00F94F86" w:rsidP="007F0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4D">
        <w:rPr>
          <w:rFonts w:ascii="Times New Roman" w:hAnsi="Times New Roman" w:cs="Times New Roman"/>
          <w:sz w:val="28"/>
          <w:szCs w:val="28"/>
        </w:rPr>
        <w:lastRenderedPageBreak/>
        <w:t>Основаниями для рассмотрения дел в отношении родителей (законных представителей) с целью организации индивидуальной профилактической работы явились:</w:t>
      </w:r>
    </w:p>
    <w:p w:rsidR="00753D4D" w:rsidRPr="00753D4D" w:rsidRDefault="00753D4D" w:rsidP="00F94F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101" w:rsidRPr="00957A74" w:rsidRDefault="00F94F86" w:rsidP="00957A74">
      <w:pPr>
        <w:pStyle w:val="ConsPlusNormal"/>
        <w:ind w:right="140" w:firstLine="0"/>
        <w:jc w:val="both"/>
      </w:pPr>
      <w:r w:rsidRPr="0064538A">
        <w:rPr>
          <w:noProof/>
        </w:rPr>
        <w:drawing>
          <wp:inline distT="0" distB="0" distL="0" distR="0" wp14:anchorId="42CF7DC8" wp14:editId="2D1928D7">
            <wp:extent cx="6345382" cy="3757353"/>
            <wp:effectExtent l="38100" t="0" r="0" b="0"/>
            <wp:docPr id="15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7A74" w:rsidRDefault="00957A74" w:rsidP="00753D4D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F86" w:rsidRPr="00753D4D" w:rsidRDefault="00C9667B" w:rsidP="00753D4D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</w:t>
      </w:r>
      <w:r w:rsidR="00F94F86" w:rsidRPr="00753D4D">
        <w:rPr>
          <w:rFonts w:ascii="Times New Roman" w:hAnsi="Times New Roman" w:cs="Times New Roman"/>
          <w:sz w:val="28"/>
          <w:szCs w:val="28"/>
        </w:rPr>
        <w:t xml:space="preserve">омиссией организована работа по профилактике безнадзорности правонарушений среди несовершеннолетних, в том числе ведется учет несовершеннолетних, совершивших противоправные деяния. </w:t>
      </w:r>
    </w:p>
    <w:p w:rsidR="00F94F86" w:rsidRDefault="00F94F86" w:rsidP="00F94F86">
      <w:pPr>
        <w:pStyle w:val="ConsPlusNormal"/>
        <w:ind w:firstLine="709"/>
        <w:jc w:val="both"/>
      </w:pPr>
    </w:p>
    <w:p w:rsidR="006F1BFF" w:rsidRDefault="00F94F86" w:rsidP="007F02FC">
      <w:pPr>
        <w:pStyle w:val="ConsPlusNormal"/>
        <w:ind w:left="5" w:right="282" w:hanging="5"/>
        <w:jc w:val="both"/>
        <w:rPr>
          <w:rFonts w:ascii="Times New Roman" w:hAnsi="Times New Roman" w:cs="Times New Roman"/>
          <w:sz w:val="28"/>
          <w:szCs w:val="28"/>
        </w:rPr>
      </w:pPr>
      <w:r w:rsidRPr="00A667A8">
        <w:rPr>
          <w:noProof/>
          <w:shd w:val="clear" w:color="auto" w:fill="A6A6A6" w:themeFill="background1" w:themeFillShade="A6"/>
        </w:rPr>
        <w:drawing>
          <wp:inline distT="0" distB="0" distL="0" distR="0" wp14:anchorId="6B8498E6" wp14:editId="58EAA903">
            <wp:extent cx="6439593" cy="3613265"/>
            <wp:effectExtent l="0" t="0" r="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F86" w:rsidRPr="00957A74" w:rsidRDefault="00903576" w:rsidP="006F1BFF">
      <w:pPr>
        <w:pStyle w:val="ConsPlusNormal"/>
        <w:ind w:left="5" w:right="282" w:firstLine="70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увеличилось</w:t>
      </w:r>
      <w:r w:rsidR="00F94F86" w:rsidRPr="00753D4D">
        <w:rPr>
          <w:rFonts w:ascii="Times New Roman" w:hAnsi="Times New Roman" w:cs="Times New Roman"/>
          <w:sz w:val="28"/>
          <w:szCs w:val="28"/>
        </w:rPr>
        <w:t xml:space="preserve"> количество преступлений, совершенных несовершеннолетними. Ежеквартально на заседаниях Муниципальн</w:t>
      </w:r>
      <w:r w:rsidR="00C9667B">
        <w:rPr>
          <w:rFonts w:ascii="Times New Roman" w:hAnsi="Times New Roman" w:cs="Times New Roman"/>
          <w:sz w:val="28"/>
          <w:szCs w:val="28"/>
        </w:rPr>
        <w:t>ой</w:t>
      </w:r>
      <w:r w:rsidR="00F94F86" w:rsidRPr="00753D4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9667B">
        <w:rPr>
          <w:rFonts w:ascii="Times New Roman" w:hAnsi="Times New Roman" w:cs="Times New Roman"/>
          <w:sz w:val="28"/>
          <w:szCs w:val="28"/>
        </w:rPr>
        <w:t>и</w:t>
      </w:r>
      <w:r w:rsidR="00F94F86" w:rsidRPr="00753D4D">
        <w:rPr>
          <w:rFonts w:ascii="Times New Roman" w:hAnsi="Times New Roman" w:cs="Times New Roman"/>
          <w:sz w:val="28"/>
          <w:szCs w:val="28"/>
        </w:rPr>
        <w:t xml:space="preserve"> рассматриваются вопросы о состоянии преступности среди несовершеннолетних, в том числе о принимаемых мерах специалистами органов и учреждений системы профилактики безнадзорности и правонарушений среди несовершеннолетних по предупреждению противоправных деяний среди несовершеннолетних.</w:t>
      </w:r>
    </w:p>
    <w:p w:rsidR="00F94F86" w:rsidRDefault="00F94F86" w:rsidP="00F94F86">
      <w:pPr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 wp14:anchorId="36999A98" wp14:editId="3DCC7F94">
            <wp:extent cx="6323215" cy="175121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</w:t>
      </w:r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предупреждения безнадзорности, правонарушений и защиты прав несовершеннолетних </w:t>
      </w:r>
      <w:r w:rsidRPr="00CF3101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Pr="00CF3101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профилактическая операция «Подросток»,</w:t>
      </w:r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 заочный конкурс среди несовершеннолетних «Право и я». </w:t>
      </w:r>
    </w:p>
    <w:p w:rsidR="00F94F86" w:rsidRPr="00CF3101" w:rsidRDefault="00F94F86" w:rsidP="00C9667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3101">
        <w:rPr>
          <w:rFonts w:ascii="Times New Roman" w:eastAsia="Calibri" w:hAnsi="Times New Roman" w:cs="Times New Roman"/>
          <w:sz w:val="28"/>
          <w:szCs w:val="28"/>
        </w:rPr>
        <w:t>В рамках Всероссий</w:t>
      </w:r>
      <w:r w:rsidR="00A00524">
        <w:rPr>
          <w:rFonts w:ascii="Times New Roman" w:eastAsia="Calibri" w:hAnsi="Times New Roman" w:cs="Times New Roman"/>
          <w:sz w:val="28"/>
          <w:szCs w:val="28"/>
        </w:rPr>
        <w:t xml:space="preserve">ского Дня правовой помощи детям </w:t>
      </w:r>
      <w:r w:rsidR="00C9667B">
        <w:rPr>
          <w:rFonts w:ascii="Times New Roman" w:eastAsia="Calibri" w:hAnsi="Times New Roman" w:cs="Times New Roman"/>
          <w:sz w:val="28"/>
          <w:szCs w:val="28"/>
        </w:rPr>
        <w:t>Муниципальной к</w:t>
      </w:r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омиссией </w:t>
      </w:r>
      <w:r w:rsidRPr="00CF3101">
        <w:rPr>
          <w:rFonts w:ascii="Times New Roman" w:hAnsi="Times New Roman" w:cs="Times New Roman"/>
          <w:sz w:val="28"/>
          <w:szCs w:val="28"/>
        </w:rPr>
        <w:t>проведена интеллектуально-правовая игра «Знатоки права»</w:t>
      </w:r>
      <w:r w:rsidR="000F639E">
        <w:rPr>
          <w:rFonts w:ascii="Times New Roman" w:hAnsi="Times New Roman" w:cs="Times New Roman"/>
          <w:sz w:val="28"/>
          <w:szCs w:val="28"/>
        </w:rPr>
        <w:t>,</w:t>
      </w:r>
      <w:r w:rsidRPr="00CF3101">
        <w:rPr>
          <w:rFonts w:ascii="Times New Roman" w:hAnsi="Times New Roman" w:cs="Times New Roman"/>
          <w:sz w:val="28"/>
          <w:szCs w:val="28"/>
        </w:rPr>
        <w:t xml:space="preserve"> организованная для несовершеннолетних </w:t>
      </w:r>
      <w:r w:rsidR="006F1BFF">
        <w:rPr>
          <w:rFonts w:ascii="Times New Roman" w:hAnsi="Times New Roman" w:cs="Times New Roman"/>
          <w:sz w:val="28"/>
          <w:szCs w:val="28"/>
        </w:rPr>
        <w:t>в возрасте 14-</w:t>
      </w:r>
      <w:r w:rsidRPr="00CF3101">
        <w:rPr>
          <w:rFonts w:ascii="Times New Roman" w:hAnsi="Times New Roman" w:cs="Times New Roman"/>
          <w:sz w:val="28"/>
          <w:szCs w:val="28"/>
        </w:rPr>
        <w:t xml:space="preserve">17 лет, в которой приняли участие обучающиеся муниципального бюджетного общеобразовательного учреждения «Средняя общеобразовательная школа п.  Горноправдинск», муниципального казенного общеобразовательного учреждения «Средняя общеобразовательная школа п. Бобровский», муниципального казенного общеобразовательного учреждения «Средняя общеобразовательная школа с. </w:t>
      </w:r>
      <w:proofErr w:type="spellStart"/>
      <w:r w:rsidRPr="00CF310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CF310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>На общешкольных родительских собраниях освещаются вопросы по защите прав и законных инт</w:t>
      </w:r>
      <w:r w:rsidR="006F1BFF">
        <w:rPr>
          <w:rFonts w:ascii="Times New Roman" w:eastAsia="Calibri" w:hAnsi="Times New Roman" w:cs="Times New Roman"/>
          <w:sz w:val="28"/>
          <w:szCs w:val="28"/>
        </w:rPr>
        <w:t>ересов несовершеннолетних детей</w:t>
      </w:r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 о недопустимости ненадлежащего исполнения родительских обязанностей. </w:t>
      </w:r>
    </w:p>
    <w:p w:rsidR="00F94F86" w:rsidRPr="00CF3101" w:rsidRDefault="00F94F86" w:rsidP="006F1BFF">
      <w:pPr>
        <w:ind w:left="1" w:firstLine="708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>Семьям, признанным находящимися в социально опасном положении, оказано содействие в оформлении мер социальной поддержки.</w:t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>Комитетом по образованию администрации Ханты-Мансийского района ежемесячно проводится персональный мониторинг досуговой занятости несовершеннолетних, признанных находящимися в социально опасном положении.</w:t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При организации детских оздоровительных лагерей особое внимание уделяется несовершеннолетним, признанным находящимися в социально опасном положении, а также несовершеннолетним, проживающим в семьях, признанных находящимися в социально опасном положении. </w:t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 проведены районные конкурсы по повышению правовой грамотности учащихся, по профилактике правонарушений несовершеннолетних, конкурс вариативных программ по профилактике наркомании алкоголизма и асоциального поведения в подростковой и молодежной среде.</w:t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lastRenderedPageBreak/>
        <w:t>Члены волонтерского движения общественного детского формирования «</w:t>
      </w:r>
      <w:proofErr w:type="spellStart"/>
      <w:r w:rsidRPr="00CF3101">
        <w:rPr>
          <w:rFonts w:ascii="Times New Roman" w:eastAsia="Calibri" w:hAnsi="Times New Roman" w:cs="Times New Roman"/>
          <w:sz w:val="28"/>
          <w:szCs w:val="28"/>
        </w:rPr>
        <w:t>Наркопост</w:t>
      </w:r>
      <w:proofErr w:type="spellEnd"/>
      <w:r w:rsidRPr="00CF3101">
        <w:rPr>
          <w:rFonts w:ascii="Times New Roman" w:eastAsia="Calibri" w:hAnsi="Times New Roman" w:cs="Times New Roman"/>
          <w:sz w:val="28"/>
          <w:szCs w:val="28"/>
        </w:rPr>
        <w:t>» приняли участие в организац</w:t>
      </w:r>
      <w:r w:rsidR="000F639E">
        <w:rPr>
          <w:rFonts w:ascii="Times New Roman" w:eastAsia="Calibri" w:hAnsi="Times New Roman" w:cs="Times New Roman"/>
          <w:sz w:val="28"/>
          <w:szCs w:val="28"/>
        </w:rPr>
        <w:t>ии и проведении профилактических</w:t>
      </w:r>
      <w:r w:rsidR="00147195">
        <w:rPr>
          <w:rFonts w:ascii="Times New Roman" w:eastAsia="Calibri" w:hAnsi="Times New Roman" w:cs="Times New Roman"/>
          <w:sz w:val="28"/>
          <w:szCs w:val="28"/>
        </w:rPr>
        <w:t xml:space="preserve"> антинаркотических акций</w:t>
      </w:r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 «Стоп ВИЧ/СПИД», «Стать свободным от вредных привычек», «Подумай о своем будущем! Выбор за тобой», а также в конкурсе школьных стенгазет «Мир без наркотиков», создании роликов «Здоровый образ жизни – без вредных привычек», распространении памяток, проведении спортивно-массовых мероприятий. </w:t>
      </w:r>
    </w:p>
    <w:p w:rsidR="00F94F86" w:rsidRPr="00CF3101" w:rsidRDefault="007C568A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Организован</w:t>
      </w:r>
      <w:r w:rsidR="00F94F86" w:rsidRPr="00CF3101">
        <w:rPr>
          <w:rFonts w:ascii="Times New Roman" w:eastAsia="Calibri" w:hAnsi="Times New Roman" w:cs="Times New Roman"/>
          <w:sz w:val="28"/>
          <w:szCs w:val="28"/>
        </w:rPr>
        <w:t>ы профилактические рейды специалистов органов и учреждений системы профилактики безнадзорности и правонарушений в населенные пункты района с цел</w:t>
      </w:r>
      <w:r w:rsidR="00147195">
        <w:rPr>
          <w:rFonts w:ascii="Times New Roman" w:eastAsia="Calibri" w:hAnsi="Times New Roman" w:cs="Times New Roman"/>
          <w:sz w:val="28"/>
          <w:szCs w:val="28"/>
        </w:rPr>
        <w:t>ь</w:t>
      </w:r>
      <w:r w:rsidR="00F94F86" w:rsidRPr="00CF3101">
        <w:rPr>
          <w:rFonts w:ascii="Times New Roman" w:eastAsia="Calibri" w:hAnsi="Times New Roman" w:cs="Times New Roman"/>
          <w:sz w:val="28"/>
          <w:szCs w:val="28"/>
        </w:rPr>
        <w:t xml:space="preserve">ю раннего выявления семей и несовершеннолетних, имеющих признаки социально опасного поведения. </w:t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>С целью привлечения к занятиям физической культурой и спортом, организации досуга детей, в том числе состоящих на различных видах учета</w:t>
      </w:r>
      <w:r w:rsidR="00147195">
        <w:rPr>
          <w:rFonts w:ascii="Times New Roman" w:eastAsia="Calibri" w:hAnsi="Times New Roman" w:cs="Times New Roman"/>
          <w:sz w:val="28"/>
          <w:szCs w:val="28"/>
        </w:rPr>
        <w:t>,</w:t>
      </w:r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 во взаимодействии с органами и учреждениями системы профилактики безнадзорности и правонарушений несовершеннолетних проводится адресная работа по выявлению спортивных способностей, досуговых интересов и предпочтений несовершеннолетних посредством анкетирования, бесед. </w:t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>Информация о формах отдыха, оздоровления несовершеннолетних размещена на официальном сайте администрации Ханты-Мансийского района, а также сайтах органов и учреждений системы профилактики безнадзорности и правонарушений несовершеннолетних.</w:t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>Казенным учреждением Ханты-Мансийского автономного округа – Югры «Ханты-Мансийский центр занятости населения» выполнены мероприятия по организации временного трудоустройства несовершеннолетних граждан в возрасте от 14 до 18 лет в свободное от учебы время, оказаны консультационные услуги по вопросам трудоустройства несовершеннолетних граждан,</w:t>
      </w:r>
      <w:r w:rsidR="007C568A">
        <w:rPr>
          <w:rFonts w:ascii="Times New Roman" w:eastAsia="Calibri" w:hAnsi="Times New Roman" w:cs="Times New Roman"/>
          <w:sz w:val="28"/>
          <w:szCs w:val="28"/>
        </w:rPr>
        <w:t xml:space="preserve"> организована </w:t>
      </w:r>
      <w:proofErr w:type="spellStart"/>
      <w:r w:rsidR="007C568A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 работа с </w:t>
      </w:r>
      <w:r w:rsidR="00CF310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Pr="00CF3101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организаций.</w:t>
      </w:r>
    </w:p>
    <w:p w:rsidR="00F94F86" w:rsidRPr="00CF3101" w:rsidRDefault="00F94F86" w:rsidP="00CF31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eastAsia="Calibri" w:hAnsi="Times New Roman" w:cs="Times New Roman"/>
          <w:sz w:val="28"/>
          <w:szCs w:val="28"/>
        </w:rPr>
        <w:t>Сотрудниками отделения по делам несовершеннолетних межмуниципального отдела министерства внутренних дел Российской Федерации «Ханты-Мансийский» совместно с представителями субъектов системы профилактики на постоянной основе организуются и проводятся мероприятия, направленные на противодействие подростковой преступности, защите прав и законных интересов несовершеннолетних, проведены лекционные мероприятия в образовательных организациях, расположенных на территории Ханты-Мансийского района, родителям доведена информация по противодействию терроризму и экстремизму.</w:t>
      </w:r>
    </w:p>
    <w:p w:rsidR="00F94F86" w:rsidRPr="00CF3101" w:rsidRDefault="00F94F86" w:rsidP="00CF31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101">
        <w:rPr>
          <w:rFonts w:ascii="Times New Roman" w:hAnsi="Times New Roman" w:cs="Times New Roman"/>
          <w:sz w:val="28"/>
          <w:szCs w:val="28"/>
        </w:rPr>
        <w:t xml:space="preserve">Организацией полезной занятости обучающихся в образовательных организациях во </w:t>
      </w:r>
      <w:proofErr w:type="spellStart"/>
      <w:r w:rsidRPr="00CF3101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CF3101">
        <w:rPr>
          <w:rFonts w:ascii="Times New Roman" w:hAnsi="Times New Roman" w:cs="Times New Roman"/>
          <w:sz w:val="28"/>
          <w:szCs w:val="28"/>
        </w:rPr>
        <w:t xml:space="preserve"> время, в том числе находящихся в социально опасном положении в Ханты-Мансийском районе осуществляется муниципальным казенным учреждением Ханты-Мансийского района «Комитет по культуре, спорту и социальной политике», муниципальным бюджетным учреждением дополнительного образования «Детско-юношеская спортивная школа Ханты-Мансийского района» (далее – МБУ ДО ДЮСШ), муниципальным бюджетным учреждением дополнительного образования Ханты-Мансийского района (далее – МБУ ДО ХМР), образовательными организациями Ханты-Мансийского района, </w:t>
      </w:r>
      <w:r w:rsidRPr="00CF3101">
        <w:rPr>
          <w:rFonts w:ascii="Times New Roman" w:hAnsi="Times New Roman" w:cs="Times New Roman"/>
          <w:sz w:val="28"/>
          <w:szCs w:val="28"/>
        </w:rPr>
        <w:lastRenderedPageBreak/>
        <w:t>казенным учреждением  Ханты-Мансийского автономного округа – Югры «Ханты-Мансийский центр занятости населения» (далее – Центр занятости населения), муниципальным бюджетным учреждением дополнительного образования Ханты-Мансийского района.</w:t>
      </w:r>
    </w:p>
    <w:p w:rsidR="00F94F86" w:rsidRPr="00CF3101" w:rsidRDefault="00F94F86" w:rsidP="00CF31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101">
        <w:rPr>
          <w:rFonts w:ascii="Times New Roman" w:hAnsi="Times New Roman" w:cs="Times New Roman"/>
          <w:sz w:val="28"/>
          <w:szCs w:val="28"/>
        </w:rPr>
        <w:t>В 2019 году в МБУ Д</w:t>
      </w:r>
      <w:r w:rsidR="00AB68A7">
        <w:rPr>
          <w:rFonts w:ascii="Times New Roman" w:hAnsi="Times New Roman" w:cs="Times New Roman"/>
          <w:sz w:val="28"/>
          <w:szCs w:val="28"/>
        </w:rPr>
        <w:t>О ДЮСШ Ханты-Мансийского района</w:t>
      </w:r>
      <w:r w:rsidRPr="00CF3101">
        <w:rPr>
          <w:rFonts w:ascii="Times New Roman" w:hAnsi="Times New Roman" w:cs="Times New Roman"/>
          <w:sz w:val="28"/>
          <w:szCs w:val="28"/>
        </w:rPr>
        <w:t xml:space="preserve"> обучались 2 несовершеннолетних, включенных в реестр несовершеннолетних, признанных находящимися в социально опасном положении.</w:t>
      </w:r>
    </w:p>
    <w:p w:rsidR="00F94F86" w:rsidRPr="00CF3101" w:rsidRDefault="00F94F86" w:rsidP="007B4F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101">
        <w:rPr>
          <w:rFonts w:ascii="Times New Roman" w:hAnsi="Times New Roman" w:cs="Times New Roman"/>
          <w:sz w:val="28"/>
          <w:szCs w:val="28"/>
        </w:rPr>
        <w:t>На базе отделений муниципального казенного учреждения Ханты-Мансийского района «Централизованная библиотечная система» функционируют 20 клубов по интересам. Основными формами проведения мероприятий являются уроки безопасности, пр</w:t>
      </w:r>
      <w:r w:rsidR="007C568A">
        <w:rPr>
          <w:rFonts w:ascii="Times New Roman" w:hAnsi="Times New Roman" w:cs="Times New Roman"/>
          <w:sz w:val="28"/>
          <w:szCs w:val="28"/>
        </w:rPr>
        <w:t>офилактические беседы «Общество</w:t>
      </w:r>
      <w:r w:rsidRPr="00CF3101">
        <w:rPr>
          <w:rFonts w:ascii="Times New Roman" w:hAnsi="Times New Roman" w:cs="Times New Roman"/>
          <w:sz w:val="28"/>
          <w:szCs w:val="28"/>
        </w:rPr>
        <w:t xml:space="preserve"> и я», тематические выставки, конкурсы рисунков, издан буклет полезных советов и др.</w:t>
      </w:r>
    </w:p>
    <w:p w:rsidR="00F94F86" w:rsidRPr="00CF3101" w:rsidRDefault="00F94F86" w:rsidP="00F94F86">
      <w:pPr>
        <w:pStyle w:val="ab"/>
        <w:ind w:firstLine="72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CF3101">
        <w:rPr>
          <w:rFonts w:ascii="Times New Roman" w:hAnsi="Times New Roman" w:cs="Times New Roman"/>
          <w:sz w:val="28"/>
          <w:szCs w:val="28"/>
        </w:rPr>
        <w:t>Деятельность муниципального бюджетного учреждения дополнительного образования Ханты-Мансийского района в 23 образовательных организациях</w:t>
      </w:r>
      <w:r w:rsidRPr="00CF3101">
        <w:rPr>
          <w:rFonts w:ascii="Times New Roman" w:hAnsi="Times New Roman" w:cs="Times New Roman"/>
          <w:sz w:val="28"/>
          <w:szCs w:val="28"/>
        </w:rPr>
        <w:br/>
        <w:t xml:space="preserve">и 2-х подразделениях представлена деятельностью 121 объединений по </w:t>
      </w:r>
      <w:r w:rsidRPr="00CF3101">
        <w:rPr>
          <w:rFonts w:ascii="Times New Roman" w:hAnsi="Times New Roman" w:cs="Times New Roman"/>
          <w:sz w:val="28"/>
          <w:szCs w:val="28"/>
        </w:rPr>
        <w:br/>
        <w:t>8 направленностям (ф</w:t>
      </w:r>
      <w:r w:rsidR="007C568A">
        <w:rPr>
          <w:rStyle w:val="FontStyle19"/>
          <w:rFonts w:ascii="Times New Roman" w:hAnsi="Times New Roman" w:cs="Times New Roman"/>
          <w:b w:val="0"/>
          <w:sz w:val="28"/>
          <w:szCs w:val="28"/>
        </w:rPr>
        <w:t>изкультурно-спортивная</w:t>
      </w:r>
      <w:r w:rsidRPr="00CF3101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, военно-патриотическая, культурологическая, художественно-эстетическая, научно-техническая, естественнонаучная, эколого-биологическая, туристско-краеведческая). </w:t>
      </w:r>
    </w:p>
    <w:p w:rsidR="00F94F86" w:rsidRPr="00CF3101" w:rsidRDefault="00F94F86" w:rsidP="00F94F86">
      <w:pPr>
        <w:pStyle w:val="ab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3101">
        <w:rPr>
          <w:rFonts w:ascii="Times New Roman" w:hAnsi="Times New Roman" w:cs="Times New Roman"/>
          <w:sz w:val="28"/>
          <w:szCs w:val="28"/>
        </w:rPr>
        <w:t xml:space="preserve">Численность трудоустроенных несовершеннолетних в 2019 году составила 501 человек, в том числе охват </w:t>
      </w:r>
      <w:r w:rsidRPr="00CF3101">
        <w:rPr>
          <w:rFonts w:ascii="Times New Roman" w:eastAsia="Calibri" w:hAnsi="Times New Roman" w:cs="Times New Roman"/>
          <w:sz w:val="28"/>
          <w:szCs w:val="28"/>
        </w:rPr>
        <w:t>несовершеннолетних из числа несовершеннолетних, находящихся в социально опасном положении составил 100 %.</w:t>
      </w:r>
    </w:p>
    <w:p w:rsidR="00F94F86" w:rsidRPr="00CF3101" w:rsidRDefault="00F94F86" w:rsidP="00221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101">
        <w:rPr>
          <w:rFonts w:ascii="Times New Roman" w:hAnsi="Times New Roman" w:cs="Times New Roman"/>
          <w:sz w:val="28"/>
          <w:szCs w:val="28"/>
        </w:rPr>
        <w:t>В 2019 году проведено 34 заседани</w:t>
      </w:r>
      <w:r w:rsidR="00221254">
        <w:rPr>
          <w:rFonts w:ascii="Times New Roman" w:hAnsi="Times New Roman" w:cs="Times New Roman"/>
          <w:sz w:val="28"/>
          <w:szCs w:val="28"/>
        </w:rPr>
        <w:t>я</w:t>
      </w:r>
      <w:r w:rsidRPr="00CF3101">
        <w:rPr>
          <w:rFonts w:ascii="Times New Roman" w:hAnsi="Times New Roman" w:cs="Times New Roman"/>
          <w:sz w:val="28"/>
          <w:szCs w:val="28"/>
        </w:rPr>
        <w:t xml:space="preserve"> с целью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действий.</w:t>
      </w:r>
    </w:p>
    <w:p w:rsidR="004B2800" w:rsidRDefault="004B2800" w:rsidP="00F94F86">
      <w:pPr>
        <w:rPr>
          <w:rFonts w:ascii="Times New Roman" w:hAnsi="Times New Roman" w:cs="Times New Roman"/>
          <w:sz w:val="28"/>
          <w:szCs w:val="28"/>
        </w:rPr>
      </w:pPr>
    </w:p>
    <w:p w:rsidR="00F94F86" w:rsidRPr="00CF3101" w:rsidRDefault="00F94F86" w:rsidP="00C96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10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B2800">
        <w:rPr>
          <w:rFonts w:ascii="Times New Roman" w:hAnsi="Times New Roman" w:cs="Times New Roman"/>
          <w:sz w:val="28"/>
          <w:szCs w:val="28"/>
        </w:rPr>
        <w:t>Муниципальной к</w:t>
      </w:r>
      <w:r w:rsidRPr="00CF310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F02FC">
        <w:rPr>
          <w:rFonts w:ascii="Times New Roman" w:hAnsi="Times New Roman" w:cs="Times New Roman"/>
          <w:sz w:val="28"/>
          <w:szCs w:val="28"/>
        </w:rPr>
        <w:t>в период 2015-2019 годы</w:t>
      </w:r>
    </w:p>
    <w:p w:rsidR="00F94F86" w:rsidRDefault="00F94F86" w:rsidP="00F94F86">
      <w:r w:rsidRPr="00E75351">
        <w:rPr>
          <w:noProof/>
          <w:lang w:eastAsia="ru-RU"/>
        </w:rPr>
        <w:drawing>
          <wp:inline distT="0" distB="0" distL="0" distR="0" wp14:anchorId="694719BE" wp14:editId="67B38B14">
            <wp:extent cx="5990706" cy="1468581"/>
            <wp:effectExtent l="0" t="0" r="0" b="0"/>
            <wp:docPr id="7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3576" w:rsidRDefault="00903576" w:rsidP="00F94F8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F86" w:rsidRPr="00221254" w:rsidRDefault="00F94F86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>Система консультирования и оказан</w:t>
      </w:r>
      <w:r w:rsidR="004B2800">
        <w:rPr>
          <w:rFonts w:ascii="Times New Roman" w:hAnsi="Times New Roman" w:cs="Times New Roman"/>
          <w:sz w:val="28"/>
          <w:szCs w:val="28"/>
        </w:rPr>
        <w:t>ия методической помощи членами М</w:t>
      </w:r>
      <w:r w:rsidRPr="00221254">
        <w:rPr>
          <w:rFonts w:ascii="Times New Roman" w:hAnsi="Times New Roman" w:cs="Times New Roman"/>
          <w:sz w:val="28"/>
          <w:szCs w:val="28"/>
        </w:rPr>
        <w:t>униципальн</w:t>
      </w:r>
      <w:r w:rsidR="004B2800">
        <w:rPr>
          <w:rFonts w:ascii="Times New Roman" w:hAnsi="Times New Roman" w:cs="Times New Roman"/>
          <w:sz w:val="28"/>
          <w:szCs w:val="28"/>
        </w:rPr>
        <w:t>ой</w:t>
      </w:r>
      <w:r w:rsidRPr="002212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B2800">
        <w:rPr>
          <w:rFonts w:ascii="Times New Roman" w:hAnsi="Times New Roman" w:cs="Times New Roman"/>
          <w:sz w:val="28"/>
          <w:szCs w:val="28"/>
        </w:rPr>
        <w:t>и</w:t>
      </w:r>
      <w:r w:rsidRPr="00221254">
        <w:rPr>
          <w:rFonts w:ascii="Times New Roman" w:hAnsi="Times New Roman" w:cs="Times New Roman"/>
          <w:sz w:val="28"/>
          <w:szCs w:val="28"/>
        </w:rPr>
        <w:t xml:space="preserve"> осуществляется путем разработки методических материалов по процедуре обеспечения взаимодействия при осуществлении профилактической и реабилитационной работы, внедрения современных и </w:t>
      </w:r>
      <w:r w:rsidRPr="0022125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 оправданных алгоритмов работы. Порядок исполнения обсуждается на заседаниях </w:t>
      </w:r>
      <w:r w:rsidR="007F02FC">
        <w:rPr>
          <w:rFonts w:ascii="Times New Roman" w:hAnsi="Times New Roman" w:cs="Times New Roman"/>
          <w:sz w:val="28"/>
          <w:szCs w:val="28"/>
        </w:rPr>
        <w:t>к</w:t>
      </w:r>
      <w:r w:rsidRPr="00221254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F94F86" w:rsidRPr="00221254" w:rsidRDefault="00F94F86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B2800">
        <w:rPr>
          <w:rFonts w:ascii="Times New Roman" w:hAnsi="Times New Roman" w:cs="Times New Roman"/>
          <w:sz w:val="28"/>
          <w:szCs w:val="28"/>
        </w:rPr>
        <w:t>Муниципальной комиссией</w:t>
      </w:r>
      <w:r w:rsidRPr="00221254">
        <w:rPr>
          <w:rFonts w:ascii="Times New Roman" w:hAnsi="Times New Roman" w:cs="Times New Roman"/>
          <w:sz w:val="28"/>
          <w:szCs w:val="28"/>
        </w:rPr>
        <w:t xml:space="preserve"> организовываются родительские собрания, лекции для подростков с привлечением руководителей и специалистов органов и учреждений системы профилактики с целью проведения профилактических мероприятий.</w:t>
      </w:r>
    </w:p>
    <w:p w:rsidR="00F94F86" w:rsidRPr="00221254" w:rsidRDefault="00F94F86" w:rsidP="00221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 xml:space="preserve">Анализ профилактических мер по снижению уровня преступности и правонарушений рассматривается на заседаниях </w:t>
      </w:r>
      <w:r w:rsidR="004B28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1254">
        <w:rPr>
          <w:rFonts w:ascii="Times New Roman" w:hAnsi="Times New Roman" w:cs="Times New Roman"/>
          <w:sz w:val="28"/>
          <w:szCs w:val="28"/>
        </w:rPr>
        <w:t>комиссии ежеквартально, по результатам рассмотрения принимаются решения в виде постановлений.</w:t>
      </w:r>
    </w:p>
    <w:p w:rsidR="00F94F86" w:rsidRPr="00221254" w:rsidRDefault="00F94F86" w:rsidP="00221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 xml:space="preserve">В планы повесток выездных заседаний </w:t>
      </w:r>
      <w:r w:rsidR="004B28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1254">
        <w:rPr>
          <w:rFonts w:ascii="Times New Roman" w:hAnsi="Times New Roman" w:cs="Times New Roman"/>
          <w:sz w:val="28"/>
          <w:szCs w:val="28"/>
        </w:rPr>
        <w:t>комиссии включены вопросы по анализу эффективности реализации индивидуальных программ реабилитации в отношении несовершеннолетних, семей, признанных находящимися в социально опасном положении; по результатам рассмотрения принимаются постановления.</w:t>
      </w:r>
    </w:p>
    <w:p w:rsidR="00B70A3A" w:rsidRDefault="004B2800" w:rsidP="00B70A3A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планам М</w:t>
      </w:r>
      <w:r w:rsidR="00F94F86" w:rsidRPr="00221254">
        <w:rPr>
          <w:rFonts w:ascii="Times New Roman" w:hAnsi="Times New Roman" w:cs="Times New Roman"/>
          <w:sz w:val="28"/>
          <w:szCs w:val="28"/>
        </w:rPr>
        <w:t xml:space="preserve">униципальной комиссии приняты и </w:t>
      </w:r>
      <w:r w:rsidR="00221254" w:rsidRPr="00221254">
        <w:rPr>
          <w:rFonts w:ascii="Times New Roman" w:hAnsi="Times New Roman" w:cs="Times New Roman"/>
          <w:sz w:val="28"/>
          <w:szCs w:val="28"/>
        </w:rPr>
        <w:t>реализуются:</w:t>
      </w:r>
      <w:r w:rsidR="0022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86" w:rsidRPr="00221254" w:rsidRDefault="00221254" w:rsidP="00B70A3A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94F86" w:rsidRPr="00221254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противоправного поведения несовершеннолетних, жестокого обращения с детьми, семейного неблагополучия на территории Ханты-Мансийского района до 2021 года; </w:t>
      </w:r>
    </w:p>
    <w:p w:rsidR="00F94F86" w:rsidRPr="00221254" w:rsidRDefault="00B70A3A" w:rsidP="0022125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F94F86" w:rsidRPr="00221254">
        <w:rPr>
          <w:rFonts w:ascii="Times New Roman" w:hAnsi="Times New Roman" w:cs="Times New Roman"/>
          <w:sz w:val="28"/>
          <w:szCs w:val="28"/>
        </w:rPr>
        <w:t>ежведомственный план мероприятий по профилактике суицидов, предупреждению и предотвращению суицидальных попыток среди несовершеннолетних на территории Ха</w:t>
      </w:r>
      <w:r>
        <w:rPr>
          <w:rFonts w:ascii="Times New Roman" w:hAnsi="Times New Roman" w:cs="Times New Roman"/>
          <w:sz w:val="28"/>
          <w:szCs w:val="28"/>
        </w:rPr>
        <w:t>нты-Мансийского района в 2018-</w:t>
      </w:r>
      <w:r w:rsidR="00F94F86" w:rsidRPr="00221254">
        <w:rPr>
          <w:rFonts w:ascii="Times New Roman" w:hAnsi="Times New Roman" w:cs="Times New Roman"/>
          <w:sz w:val="28"/>
          <w:szCs w:val="28"/>
        </w:rPr>
        <w:t>2020 годы;</w:t>
      </w:r>
    </w:p>
    <w:p w:rsidR="00F94F86" w:rsidRPr="00221254" w:rsidRDefault="00B70A3A" w:rsidP="00F94F86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F94F86" w:rsidRPr="00221254">
        <w:rPr>
          <w:rFonts w:ascii="Times New Roman" w:hAnsi="Times New Roman" w:cs="Times New Roman"/>
          <w:sz w:val="28"/>
          <w:szCs w:val="28"/>
        </w:rPr>
        <w:t xml:space="preserve">ежведомственный план по профилактике социального сиротства </w:t>
      </w:r>
      <w:r w:rsidR="00F94F86" w:rsidRPr="00221254">
        <w:rPr>
          <w:rFonts w:ascii="Times New Roman" w:hAnsi="Times New Roman" w:cs="Times New Roman"/>
          <w:sz w:val="28"/>
          <w:szCs w:val="28"/>
        </w:rPr>
        <w:br/>
        <w:t>в Ханты-Мансийском районе, направленного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беспризорности и правонарушений сре</w:t>
      </w:r>
      <w:r>
        <w:rPr>
          <w:rFonts w:ascii="Times New Roman" w:hAnsi="Times New Roman" w:cs="Times New Roman"/>
          <w:sz w:val="28"/>
          <w:szCs w:val="28"/>
        </w:rPr>
        <w:t>ди несовершеннолетних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</w:t>
      </w:r>
      <w:r w:rsidR="00F94F86" w:rsidRPr="00221254">
        <w:rPr>
          <w:rFonts w:ascii="Times New Roman" w:hAnsi="Times New Roman" w:cs="Times New Roman"/>
          <w:sz w:val="28"/>
          <w:szCs w:val="28"/>
        </w:rPr>
        <w:t>2020 г</w:t>
      </w:r>
      <w:r w:rsidR="00221254">
        <w:rPr>
          <w:rFonts w:ascii="Times New Roman" w:hAnsi="Times New Roman" w:cs="Times New Roman"/>
          <w:sz w:val="28"/>
          <w:szCs w:val="28"/>
        </w:rPr>
        <w:t>оды</w:t>
      </w:r>
      <w:r w:rsidR="00F94F86" w:rsidRPr="00221254">
        <w:rPr>
          <w:rFonts w:ascii="Times New Roman" w:hAnsi="Times New Roman" w:cs="Times New Roman"/>
          <w:sz w:val="28"/>
          <w:szCs w:val="28"/>
        </w:rPr>
        <w:t>;</w:t>
      </w:r>
    </w:p>
    <w:p w:rsidR="00F94F86" w:rsidRPr="00221254" w:rsidRDefault="00B70A3A" w:rsidP="00F94F86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4F86" w:rsidRPr="00221254">
        <w:rPr>
          <w:rFonts w:ascii="Times New Roman" w:hAnsi="Times New Roman" w:cs="Times New Roman"/>
          <w:sz w:val="28"/>
          <w:szCs w:val="28"/>
        </w:rPr>
        <w:t>лан мероприятий по профилактике травматизма, подростковой преступности, суицидального поведения несовершеннолетних на территории Хан</w:t>
      </w:r>
      <w:r>
        <w:rPr>
          <w:rFonts w:ascii="Times New Roman" w:hAnsi="Times New Roman" w:cs="Times New Roman"/>
          <w:sz w:val="28"/>
          <w:szCs w:val="28"/>
        </w:rPr>
        <w:t>ты-Мансийского района на 2018-</w:t>
      </w:r>
      <w:r w:rsidR="00F94F86" w:rsidRPr="00221254">
        <w:rPr>
          <w:rFonts w:ascii="Times New Roman" w:hAnsi="Times New Roman" w:cs="Times New Roman"/>
          <w:sz w:val="28"/>
          <w:szCs w:val="28"/>
        </w:rPr>
        <w:t>2020 годы;</w:t>
      </w:r>
    </w:p>
    <w:p w:rsidR="00F94F86" w:rsidRPr="00221254" w:rsidRDefault="00B70A3A" w:rsidP="007B4F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94F86" w:rsidRPr="00221254">
        <w:rPr>
          <w:rFonts w:ascii="Times New Roman" w:hAnsi="Times New Roman" w:cs="Times New Roman"/>
          <w:bCs/>
          <w:sz w:val="28"/>
          <w:szCs w:val="28"/>
        </w:rPr>
        <w:t xml:space="preserve">лан мероприятий, направленный </w:t>
      </w:r>
      <w:r w:rsidR="00F94F86" w:rsidRPr="00221254">
        <w:rPr>
          <w:rFonts w:ascii="Times New Roman" w:hAnsi="Times New Roman" w:cs="Times New Roman"/>
          <w:sz w:val="28"/>
          <w:szCs w:val="28"/>
        </w:rPr>
        <w:t>на противодействие кр</w:t>
      </w:r>
      <w:r>
        <w:rPr>
          <w:rFonts w:ascii="Times New Roman" w:hAnsi="Times New Roman" w:cs="Times New Roman"/>
          <w:sz w:val="28"/>
          <w:szCs w:val="28"/>
        </w:rPr>
        <w:t>иминальной идеологии, вовлечению</w:t>
      </w:r>
      <w:r w:rsidR="00F94F86" w:rsidRPr="00221254">
        <w:rPr>
          <w:rFonts w:ascii="Times New Roman" w:hAnsi="Times New Roman" w:cs="Times New Roman"/>
          <w:sz w:val="28"/>
          <w:szCs w:val="28"/>
        </w:rPr>
        <w:t xml:space="preserve"> несовершеннолетних в суицидальные сообщества, предупреждению </w:t>
      </w:r>
      <w:proofErr w:type="spellStart"/>
      <w:r w:rsidR="00F94F86" w:rsidRPr="0022125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94F86" w:rsidRPr="00221254">
        <w:rPr>
          <w:rFonts w:ascii="Times New Roman" w:hAnsi="Times New Roman" w:cs="Times New Roman"/>
          <w:sz w:val="28"/>
          <w:szCs w:val="28"/>
        </w:rPr>
        <w:t xml:space="preserve"> поведения среди несовершеннолетних </w:t>
      </w:r>
      <w:proofErr w:type="gramStart"/>
      <w:r w:rsidR="00F94F86" w:rsidRPr="002212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4F86" w:rsidRPr="00221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86" w:rsidRPr="00221254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 2018-</w:t>
      </w:r>
      <w:r w:rsidR="00F94F86" w:rsidRPr="00221254">
        <w:rPr>
          <w:rFonts w:ascii="Times New Roman" w:hAnsi="Times New Roman" w:cs="Times New Roman"/>
          <w:sz w:val="28"/>
          <w:szCs w:val="28"/>
        </w:rPr>
        <w:t xml:space="preserve">2019 годы. </w:t>
      </w:r>
    </w:p>
    <w:p w:rsidR="007B4FA7" w:rsidRDefault="00F94F86" w:rsidP="0022125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>Ежегодно заместител</w:t>
      </w:r>
      <w:r w:rsidR="004B2800">
        <w:rPr>
          <w:rFonts w:ascii="Times New Roman" w:hAnsi="Times New Roman" w:cs="Times New Roman"/>
          <w:sz w:val="28"/>
          <w:szCs w:val="28"/>
        </w:rPr>
        <w:t>ь председателя М</w:t>
      </w:r>
      <w:r w:rsidRPr="00221254">
        <w:rPr>
          <w:rFonts w:ascii="Times New Roman" w:hAnsi="Times New Roman" w:cs="Times New Roman"/>
          <w:sz w:val="28"/>
          <w:szCs w:val="28"/>
        </w:rPr>
        <w:t>униципальн</w:t>
      </w:r>
      <w:r w:rsidR="004B2800">
        <w:rPr>
          <w:rFonts w:ascii="Times New Roman" w:hAnsi="Times New Roman" w:cs="Times New Roman"/>
          <w:sz w:val="28"/>
          <w:szCs w:val="28"/>
        </w:rPr>
        <w:t>ой</w:t>
      </w:r>
      <w:r w:rsidRPr="002212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B2800">
        <w:rPr>
          <w:rFonts w:ascii="Times New Roman" w:hAnsi="Times New Roman" w:cs="Times New Roman"/>
          <w:sz w:val="28"/>
          <w:szCs w:val="28"/>
        </w:rPr>
        <w:t>и</w:t>
      </w:r>
      <w:r w:rsidRPr="00221254">
        <w:rPr>
          <w:rFonts w:ascii="Times New Roman" w:hAnsi="Times New Roman" w:cs="Times New Roman"/>
          <w:sz w:val="28"/>
          <w:szCs w:val="28"/>
        </w:rPr>
        <w:t xml:space="preserve"> </w:t>
      </w:r>
      <w:r w:rsidR="004B2800" w:rsidRPr="00221254">
        <w:rPr>
          <w:rFonts w:ascii="Times New Roman" w:hAnsi="Times New Roman" w:cs="Times New Roman"/>
          <w:sz w:val="28"/>
          <w:szCs w:val="28"/>
        </w:rPr>
        <w:t>участвует</w:t>
      </w:r>
      <w:r w:rsidRPr="00221254">
        <w:rPr>
          <w:rFonts w:ascii="Times New Roman" w:hAnsi="Times New Roman" w:cs="Times New Roman"/>
          <w:sz w:val="28"/>
          <w:szCs w:val="28"/>
        </w:rPr>
        <w:t xml:space="preserve"> </w:t>
      </w:r>
      <w:r w:rsidR="004B2800">
        <w:rPr>
          <w:rFonts w:ascii="Times New Roman" w:hAnsi="Times New Roman" w:cs="Times New Roman"/>
          <w:sz w:val="28"/>
          <w:szCs w:val="28"/>
        </w:rPr>
        <w:br/>
      </w:r>
      <w:r w:rsidRPr="00221254">
        <w:rPr>
          <w:rFonts w:ascii="Times New Roman" w:hAnsi="Times New Roman" w:cs="Times New Roman"/>
          <w:sz w:val="28"/>
          <w:szCs w:val="28"/>
        </w:rPr>
        <w:t xml:space="preserve">в семинарах для специалистов учреждений здравоохранения, социальной защиты населения, образования с целью освещения вопроса </w:t>
      </w:r>
      <w:r w:rsidRPr="00221254">
        <w:rPr>
          <w:rFonts w:ascii="Times New Roman" w:hAnsi="Times New Roman" w:cs="Times New Roman"/>
          <w:bCs/>
          <w:sz w:val="28"/>
          <w:szCs w:val="28"/>
        </w:rPr>
        <w:t xml:space="preserve">«О реализации Федерального закона от 24.06.1999 № 120-ФЗ «Об основах системы профилактики безнадзорности и правонарушений несовершеннолетних»; «Предупреждение самовольных уходов детей из семей и государственных учреждений»; </w:t>
      </w:r>
      <w:r w:rsidR="004B2800">
        <w:rPr>
          <w:rFonts w:ascii="Times New Roman" w:hAnsi="Times New Roman" w:cs="Times New Roman"/>
          <w:bCs/>
          <w:sz w:val="28"/>
          <w:szCs w:val="28"/>
        </w:rPr>
        <w:br/>
      </w:r>
      <w:r w:rsidRPr="00221254">
        <w:rPr>
          <w:rFonts w:ascii="Times New Roman" w:hAnsi="Times New Roman" w:cs="Times New Roman"/>
          <w:bCs/>
          <w:sz w:val="28"/>
          <w:szCs w:val="28"/>
        </w:rPr>
        <w:t>«О предупреждении суицидов (суицидальных попыток) несовершеннолетних».</w:t>
      </w:r>
    </w:p>
    <w:p w:rsidR="00F94F86" w:rsidRPr="00221254" w:rsidRDefault="00F94F86" w:rsidP="00221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lastRenderedPageBreak/>
        <w:t>Ежегодно в общественно-политической газете «Наш район», на страничках социальных сетей – Интернет размещаются публикации, направленные на предупреждение негативных проявлений в подростковой среде, а также предупреждение чрезвычайных происшествий с детьми.</w:t>
      </w:r>
    </w:p>
    <w:p w:rsidR="00F94F86" w:rsidRPr="00221254" w:rsidRDefault="00F94F86" w:rsidP="004B28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 xml:space="preserve">Материалы работы </w:t>
      </w:r>
      <w:r w:rsidR="004B28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1254">
        <w:rPr>
          <w:rFonts w:ascii="Times New Roman" w:hAnsi="Times New Roman" w:cs="Times New Roman"/>
          <w:sz w:val="28"/>
          <w:szCs w:val="28"/>
        </w:rPr>
        <w:t>комиссии (постановления, методические рекомендации и т.п.), не содержащие конфиденциальной информации, размещены на официальном сайте администрации</w:t>
      </w:r>
      <w:r w:rsidR="004B280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221254">
        <w:rPr>
          <w:rFonts w:ascii="Times New Roman" w:hAnsi="Times New Roman" w:cs="Times New Roman"/>
          <w:sz w:val="28"/>
          <w:szCs w:val="28"/>
        </w:rPr>
        <w:t xml:space="preserve"> (подраздел комиссия по делам несовершеннолетних и защите их прав). </w:t>
      </w:r>
    </w:p>
    <w:p w:rsidR="00F94F86" w:rsidRPr="00221254" w:rsidRDefault="00F94F86" w:rsidP="00F94F86">
      <w:pPr>
        <w:tabs>
          <w:tab w:val="left" w:pos="360"/>
          <w:tab w:val="left" w:pos="426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>Учитывая особую специфику работы в сельской местности (отдаленность населенных пунктов, длительные периоды распутицы и т.п.), с целью обеспечения комплексной безопасности несовершеннолетних при комиссии по делам несовершеннолетних и защите их прав создана рабочая группа по организации и обеспечению эффективных мер по сохранению жизни несовершеннолетних и обеспечению безопасности детского населения, в том числе профилактике суицидов несовершеннолетних на территории Ханты-Мансийского района.</w:t>
      </w:r>
    </w:p>
    <w:p w:rsidR="00F94F86" w:rsidRPr="00221254" w:rsidRDefault="00F94F86" w:rsidP="00221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 xml:space="preserve">В Ханты-Мансийском районе при муниципальных комиссиях по делам несовершеннолетних организована деятельность Детской общественной приемной с приемом сообщений в круглосуточном режиме по телефонной связи. </w:t>
      </w:r>
    </w:p>
    <w:p w:rsidR="007B4FA7" w:rsidRDefault="007B4FA7" w:rsidP="0022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86" w:rsidRPr="00221254" w:rsidRDefault="00F94F86" w:rsidP="0022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254">
        <w:rPr>
          <w:rFonts w:ascii="Times New Roman" w:hAnsi="Times New Roman" w:cs="Times New Roman"/>
          <w:sz w:val="28"/>
          <w:szCs w:val="28"/>
        </w:rPr>
        <w:t>Количество обращений в Детскую общественную приемную:</w:t>
      </w:r>
    </w:p>
    <w:p w:rsidR="00F94F86" w:rsidRDefault="00F94F86" w:rsidP="00B70A3A">
      <w:pPr>
        <w:jc w:val="center"/>
      </w:pPr>
      <w:r w:rsidRPr="00886A74">
        <w:rPr>
          <w:noProof/>
          <w:lang w:eastAsia="ru-RU"/>
        </w:rPr>
        <w:drawing>
          <wp:inline distT="0" distB="0" distL="0" distR="0" wp14:anchorId="6DEB5E2C" wp14:editId="7988AB00">
            <wp:extent cx="4693920" cy="1812175"/>
            <wp:effectExtent l="1905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3576" w:rsidRDefault="00903576" w:rsidP="002212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F86" w:rsidRDefault="00F94F86" w:rsidP="00B70A3A">
      <w:pPr>
        <w:jc w:val="center"/>
      </w:pPr>
      <w:r w:rsidRPr="00221254">
        <w:rPr>
          <w:rFonts w:ascii="Times New Roman" w:hAnsi="Times New Roman" w:cs="Times New Roman"/>
          <w:sz w:val="28"/>
          <w:szCs w:val="28"/>
        </w:rPr>
        <w:t>Количество семей, посещенных по месту жительства в период 2015-2019 годы</w:t>
      </w:r>
      <w:r w:rsidRPr="00886A74">
        <w:rPr>
          <w:noProof/>
          <w:lang w:eastAsia="ru-RU"/>
        </w:rPr>
        <w:drawing>
          <wp:inline distT="0" distB="0" distL="0" distR="0" wp14:anchorId="0B152A4C" wp14:editId="46044C7F">
            <wp:extent cx="5237018" cy="1751215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4F86" w:rsidRPr="00F9688B" w:rsidRDefault="00F94F86" w:rsidP="00F94F86"/>
    <w:p w:rsidR="00F94F86" w:rsidRPr="00221254" w:rsidRDefault="00C9667B" w:rsidP="00F94F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Организационную деятельность М</w:t>
      </w:r>
      <w:r w:rsidR="00F94F86" w:rsidRPr="0022125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94F86" w:rsidRPr="0022125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4F86" w:rsidRPr="00221254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органов и учреждений системы профилактики безнадзорности и правонарушений несовершеннолетних осуществлял отдел организационного </w:t>
      </w:r>
      <w:r w:rsidR="00F94F86" w:rsidRPr="0022125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деятельности муниципальных комиссий по делам несовершеннолетних и защите их прав. </w:t>
      </w:r>
    </w:p>
    <w:p w:rsidR="00B65505" w:rsidRPr="00B65505" w:rsidRDefault="00B65505" w:rsidP="00B65505">
      <w:pPr>
        <w:ind w:left="1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65505">
        <w:rPr>
          <w:rFonts w:ascii="Times New Roman" w:hAnsi="Times New Roman" w:cs="Times New Roman"/>
          <w:sz w:val="28"/>
          <w:szCs w:val="28"/>
        </w:rPr>
        <w:t>Штатное расписание отдела – 4 специалиста, что соответствует объему выполняемых функциональных направлений деятельности, определенной законом Ханты-Мансийского автономного округа – Югры от 12.10.2005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организации и обеспечению деятельности комиссий по делам несовершеннолетних и защите их прав».</w:t>
      </w:r>
      <w:proofErr w:type="gramEnd"/>
    </w:p>
    <w:p w:rsidR="00B65505" w:rsidRPr="00B65505" w:rsidRDefault="00B65505" w:rsidP="00B655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505">
        <w:rPr>
          <w:rFonts w:ascii="Times New Roman" w:hAnsi="Times New Roman" w:cs="Times New Roman"/>
          <w:sz w:val="28"/>
          <w:szCs w:val="28"/>
        </w:rPr>
        <w:t>Статистические показатели, достигнутые в сфере обеспечения прав и законных интересов несовершеннолетних, свидетельствуют о тенденции к улучшению.</w:t>
      </w:r>
    </w:p>
    <w:p w:rsidR="00B65505" w:rsidRPr="00B65505" w:rsidRDefault="00B65505" w:rsidP="00B655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505">
        <w:rPr>
          <w:rFonts w:ascii="Times New Roman" w:hAnsi="Times New Roman" w:cs="Times New Roman"/>
          <w:sz w:val="28"/>
          <w:szCs w:val="28"/>
        </w:rPr>
        <w:t xml:space="preserve">Основная проблема семей, отнесенных к категории находящихся в социально опасном положении, – злоупотребление родителей алкогольными напитками. Отсутствие методик гарантированного избавления от этого порока, отсутствие личного желания и психологического настроя на здоровый образ жизни не способствуют кардинальному изменению ситуации в лучшую сторону. </w:t>
      </w:r>
    </w:p>
    <w:p w:rsidR="00B65505" w:rsidRPr="00B65505" w:rsidRDefault="00B65505" w:rsidP="00B6550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5505">
        <w:rPr>
          <w:rFonts w:ascii="Times New Roman" w:hAnsi="Times New Roman" w:cs="Times New Roman"/>
          <w:sz w:val="28"/>
          <w:szCs w:val="28"/>
        </w:rPr>
        <w:t xml:space="preserve">По инициативе Муниципальной комиссии в 2019 году администрация Ханты-Мансийского района приняла участие во Всероссийском конкурсе «Города для детей. 2019» с планом мероприятий, направленным на улучшение положения семей с детьми, находящихся </w:t>
      </w:r>
      <w:r w:rsidR="00574F45">
        <w:rPr>
          <w:rFonts w:ascii="Times New Roman" w:hAnsi="Times New Roman" w:cs="Times New Roman"/>
          <w:sz w:val="28"/>
          <w:szCs w:val="28"/>
        </w:rPr>
        <w:t xml:space="preserve">в </w:t>
      </w:r>
      <w:r w:rsidRPr="00B65505">
        <w:rPr>
          <w:rFonts w:ascii="Times New Roman" w:hAnsi="Times New Roman" w:cs="Times New Roman"/>
          <w:sz w:val="28"/>
          <w:szCs w:val="28"/>
        </w:rPr>
        <w:t>трудной жизненной ситуации,  детей-сирот и детей, оставшихся без попечения родителей, детей, находящихся в конфликте с законом, детей инвалидов и семей с детьми инвалидами, поддержку граждан, желающих принять или принявших</w:t>
      </w:r>
      <w:proofErr w:type="gramEnd"/>
      <w:r w:rsidRPr="00B65505">
        <w:rPr>
          <w:rFonts w:ascii="Times New Roman" w:hAnsi="Times New Roman" w:cs="Times New Roman"/>
          <w:sz w:val="28"/>
          <w:szCs w:val="28"/>
        </w:rPr>
        <w:t xml:space="preserve"> детей на воспитание, и формирование ответственного отношения граждан к семейным и родительским обязанностям, формирование среды, благоприятной для роста и развития детей на территории Ханты-Мансийского района на 2019 год.</w:t>
      </w:r>
    </w:p>
    <w:p w:rsidR="00F94F86" w:rsidRPr="00F9688B" w:rsidRDefault="00F94F86" w:rsidP="00F94F86"/>
    <w:p w:rsidR="005E7EE1" w:rsidRPr="005F7FA2" w:rsidRDefault="005E7EE1" w:rsidP="005E7EE1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5E7EE1" w:rsidRPr="005F7FA2" w:rsidSect="00E4797B">
      <w:footerReference w:type="default" r:id="rId17"/>
      <w:pgSz w:w="11906" w:h="16838" w:code="9"/>
      <w:pgMar w:top="1134" w:right="567" w:bottom="1134" w:left="1276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BF" w:rsidRDefault="006925BF" w:rsidP="003802AA">
      <w:r>
        <w:separator/>
      </w:r>
    </w:p>
  </w:endnote>
  <w:endnote w:type="continuationSeparator" w:id="0">
    <w:p w:rsidR="006925BF" w:rsidRDefault="006925BF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867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1203" w:rsidRPr="00E9117E" w:rsidRDefault="004F120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11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11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11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B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11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BF" w:rsidRDefault="006925BF" w:rsidP="003802AA">
      <w:r>
        <w:separator/>
      </w:r>
    </w:p>
  </w:footnote>
  <w:footnote w:type="continuationSeparator" w:id="0">
    <w:p w:rsidR="006925BF" w:rsidRDefault="006925BF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0DE6"/>
    <w:rsid w:val="00001B1C"/>
    <w:rsid w:val="00002377"/>
    <w:rsid w:val="00002F72"/>
    <w:rsid w:val="00003DB7"/>
    <w:rsid w:val="00005454"/>
    <w:rsid w:val="000061FF"/>
    <w:rsid w:val="00006D34"/>
    <w:rsid w:val="00007473"/>
    <w:rsid w:val="00007751"/>
    <w:rsid w:val="000078E6"/>
    <w:rsid w:val="00012A7B"/>
    <w:rsid w:val="00012D6E"/>
    <w:rsid w:val="00014916"/>
    <w:rsid w:val="000154FE"/>
    <w:rsid w:val="00016637"/>
    <w:rsid w:val="00020C28"/>
    <w:rsid w:val="00021172"/>
    <w:rsid w:val="000221E2"/>
    <w:rsid w:val="000234F3"/>
    <w:rsid w:val="000249DE"/>
    <w:rsid w:val="00024A21"/>
    <w:rsid w:val="00026638"/>
    <w:rsid w:val="00026698"/>
    <w:rsid w:val="0002689A"/>
    <w:rsid w:val="00026B2C"/>
    <w:rsid w:val="000300E7"/>
    <w:rsid w:val="00030822"/>
    <w:rsid w:val="000308F7"/>
    <w:rsid w:val="00031912"/>
    <w:rsid w:val="000332B9"/>
    <w:rsid w:val="0003378B"/>
    <w:rsid w:val="000341EE"/>
    <w:rsid w:val="000343FC"/>
    <w:rsid w:val="00035781"/>
    <w:rsid w:val="00035A1D"/>
    <w:rsid w:val="00037DD4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1F52"/>
    <w:rsid w:val="0005536C"/>
    <w:rsid w:val="00055715"/>
    <w:rsid w:val="00055854"/>
    <w:rsid w:val="000601E1"/>
    <w:rsid w:val="00061677"/>
    <w:rsid w:val="0006347E"/>
    <w:rsid w:val="00063D98"/>
    <w:rsid w:val="00064B41"/>
    <w:rsid w:val="00064DA4"/>
    <w:rsid w:val="00065515"/>
    <w:rsid w:val="00065776"/>
    <w:rsid w:val="00065C77"/>
    <w:rsid w:val="0006633C"/>
    <w:rsid w:val="00066F3B"/>
    <w:rsid w:val="000677A2"/>
    <w:rsid w:val="00067E08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160C"/>
    <w:rsid w:val="00082206"/>
    <w:rsid w:val="000832FA"/>
    <w:rsid w:val="00084217"/>
    <w:rsid w:val="00085094"/>
    <w:rsid w:val="00085249"/>
    <w:rsid w:val="00086D14"/>
    <w:rsid w:val="00090F23"/>
    <w:rsid w:val="00093BC4"/>
    <w:rsid w:val="00095170"/>
    <w:rsid w:val="000951C4"/>
    <w:rsid w:val="0009530B"/>
    <w:rsid w:val="0009614F"/>
    <w:rsid w:val="000979A9"/>
    <w:rsid w:val="000A2749"/>
    <w:rsid w:val="000A2972"/>
    <w:rsid w:val="000A2BF3"/>
    <w:rsid w:val="000A3079"/>
    <w:rsid w:val="000A378B"/>
    <w:rsid w:val="000A3BED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942"/>
    <w:rsid w:val="000B3CC4"/>
    <w:rsid w:val="000B4C7F"/>
    <w:rsid w:val="000B4E16"/>
    <w:rsid w:val="000B5329"/>
    <w:rsid w:val="000B6962"/>
    <w:rsid w:val="000B71B0"/>
    <w:rsid w:val="000C0B71"/>
    <w:rsid w:val="000C1396"/>
    <w:rsid w:val="000C2531"/>
    <w:rsid w:val="000C2670"/>
    <w:rsid w:val="000C2FA6"/>
    <w:rsid w:val="000C3383"/>
    <w:rsid w:val="000C4327"/>
    <w:rsid w:val="000C4686"/>
    <w:rsid w:val="000C5651"/>
    <w:rsid w:val="000C763E"/>
    <w:rsid w:val="000D02BE"/>
    <w:rsid w:val="000D0931"/>
    <w:rsid w:val="000D19D7"/>
    <w:rsid w:val="000D22D1"/>
    <w:rsid w:val="000D31D4"/>
    <w:rsid w:val="000D4A38"/>
    <w:rsid w:val="000D532A"/>
    <w:rsid w:val="000E0106"/>
    <w:rsid w:val="000E03C4"/>
    <w:rsid w:val="000E2B0E"/>
    <w:rsid w:val="000E2EB5"/>
    <w:rsid w:val="000E4B88"/>
    <w:rsid w:val="000E4BE2"/>
    <w:rsid w:val="000E5387"/>
    <w:rsid w:val="000E562C"/>
    <w:rsid w:val="000E74D7"/>
    <w:rsid w:val="000F1DC9"/>
    <w:rsid w:val="000F23B3"/>
    <w:rsid w:val="000F2998"/>
    <w:rsid w:val="000F41B2"/>
    <w:rsid w:val="000F48DD"/>
    <w:rsid w:val="000F4C7C"/>
    <w:rsid w:val="000F560E"/>
    <w:rsid w:val="000F639E"/>
    <w:rsid w:val="000F7DC5"/>
    <w:rsid w:val="00100CD7"/>
    <w:rsid w:val="00100EC3"/>
    <w:rsid w:val="00101A3B"/>
    <w:rsid w:val="00102AE6"/>
    <w:rsid w:val="00104C25"/>
    <w:rsid w:val="0010596B"/>
    <w:rsid w:val="00105A1A"/>
    <w:rsid w:val="00106421"/>
    <w:rsid w:val="00107CE5"/>
    <w:rsid w:val="00107DE3"/>
    <w:rsid w:val="0011283D"/>
    <w:rsid w:val="00117721"/>
    <w:rsid w:val="00117CE4"/>
    <w:rsid w:val="00117D00"/>
    <w:rsid w:val="0012145B"/>
    <w:rsid w:val="00122264"/>
    <w:rsid w:val="00122868"/>
    <w:rsid w:val="00122A62"/>
    <w:rsid w:val="001242B3"/>
    <w:rsid w:val="00126575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9F7"/>
    <w:rsid w:val="0014561E"/>
    <w:rsid w:val="0014575B"/>
    <w:rsid w:val="001461D9"/>
    <w:rsid w:val="00146CE1"/>
    <w:rsid w:val="00147195"/>
    <w:rsid w:val="0015133B"/>
    <w:rsid w:val="00151521"/>
    <w:rsid w:val="001538B4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4CAC"/>
    <w:rsid w:val="0018666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0AC"/>
    <w:rsid w:val="001A2131"/>
    <w:rsid w:val="001A4D71"/>
    <w:rsid w:val="001A7336"/>
    <w:rsid w:val="001A7EC9"/>
    <w:rsid w:val="001B0B0D"/>
    <w:rsid w:val="001B0FF7"/>
    <w:rsid w:val="001B141B"/>
    <w:rsid w:val="001B1427"/>
    <w:rsid w:val="001B328E"/>
    <w:rsid w:val="001B44AE"/>
    <w:rsid w:val="001B72F0"/>
    <w:rsid w:val="001B7CE1"/>
    <w:rsid w:val="001C2CF9"/>
    <w:rsid w:val="001C3609"/>
    <w:rsid w:val="001C3BE5"/>
    <w:rsid w:val="001C4518"/>
    <w:rsid w:val="001C4538"/>
    <w:rsid w:val="001C51A5"/>
    <w:rsid w:val="001C7FB5"/>
    <w:rsid w:val="001D11E1"/>
    <w:rsid w:val="001D17A5"/>
    <w:rsid w:val="001D36BC"/>
    <w:rsid w:val="001D394D"/>
    <w:rsid w:val="001D4A7A"/>
    <w:rsid w:val="001D674B"/>
    <w:rsid w:val="001D69B2"/>
    <w:rsid w:val="001D6AA9"/>
    <w:rsid w:val="001D79B9"/>
    <w:rsid w:val="001E230D"/>
    <w:rsid w:val="001E2394"/>
    <w:rsid w:val="001E33E8"/>
    <w:rsid w:val="001E6D67"/>
    <w:rsid w:val="001E7C79"/>
    <w:rsid w:val="001F10B4"/>
    <w:rsid w:val="001F128C"/>
    <w:rsid w:val="001F1DB1"/>
    <w:rsid w:val="001F2268"/>
    <w:rsid w:val="001F2AB6"/>
    <w:rsid w:val="001F32B5"/>
    <w:rsid w:val="001F422D"/>
    <w:rsid w:val="001F4C27"/>
    <w:rsid w:val="001F7292"/>
    <w:rsid w:val="001F7FF9"/>
    <w:rsid w:val="00202BB1"/>
    <w:rsid w:val="002030E7"/>
    <w:rsid w:val="00206342"/>
    <w:rsid w:val="002065FF"/>
    <w:rsid w:val="00206C54"/>
    <w:rsid w:val="00206FEC"/>
    <w:rsid w:val="002106D2"/>
    <w:rsid w:val="00211480"/>
    <w:rsid w:val="00212378"/>
    <w:rsid w:val="00212633"/>
    <w:rsid w:val="0021496D"/>
    <w:rsid w:val="0021687A"/>
    <w:rsid w:val="0021694F"/>
    <w:rsid w:val="00221254"/>
    <w:rsid w:val="00225D67"/>
    <w:rsid w:val="00226899"/>
    <w:rsid w:val="00227623"/>
    <w:rsid w:val="00230BF4"/>
    <w:rsid w:val="002315B3"/>
    <w:rsid w:val="0023294D"/>
    <w:rsid w:val="0023333A"/>
    <w:rsid w:val="00234650"/>
    <w:rsid w:val="00234C67"/>
    <w:rsid w:val="00235726"/>
    <w:rsid w:val="00235D5C"/>
    <w:rsid w:val="0023636F"/>
    <w:rsid w:val="00236438"/>
    <w:rsid w:val="002409F8"/>
    <w:rsid w:val="00240AD1"/>
    <w:rsid w:val="0024127D"/>
    <w:rsid w:val="002429AA"/>
    <w:rsid w:val="00243C65"/>
    <w:rsid w:val="0024698B"/>
    <w:rsid w:val="00250431"/>
    <w:rsid w:val="0025049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5E41"/>
    <w:rsid w:val="002661EE"/>
    <w:rsid w:val="0026644B"/>
    <w:rsid w:val="00270528"/>
    <w:rsid w:val="00272504"/>
    <w:rsid w:val="002739CE"/>
    <w:rsid w:val="00273E28"/>
    <w:rsid w:val="002741EA"/>
    <w:rsid w:val="00275874"/>
    <w:rsid w:val="00275914"/>
    <w:rsid w:val="00275B80"/>
    <w:rsid w:val="0027700B"/>
    <w:rsid w:val="00280492"/>
    <w:rsid w:val="002805B2"/>
    <w:rsid w:val="00281193"/>
    <w:rsid w:val="002819C8"/>
    <w:rsid w:val="00282C61"/>
    <w:rsid w:val="00282CFD"/>
    <w:rsid w:val="00283633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60F"/>
    <w:rsid w:val="00296DE2"/>
    <w:rsid w:val="00296E0E"/>
    <w:rsid w:val="00297397"/>
    <w:rsid w:val="0029772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2D4A"/>
    <w:rsid w:val="002C6528"/>
    <w:rsid w:val="002C6E85"/>
    <w:rsid w:val="002C7CFD"/>
    <w:rsid w:val="002D00DE"/>
    <w:rsid w:val="002D0D78"/>
    <w:rsid w:val="002D0E4C"/>
    <w:rsid w:val="002D11B0"/>
    <w:rsid w:val="002D3E1C"/>
    <w:rsid w:val="002D4954"/>
    <w:rsid w:val="002D55D7"/>
    <w:rsid w:val="002D5E19"/>
    <w:rsid w:val="002D6BAF"/>
    <w:rsid w:val="002E014E"/>
    <w:rsid w:val="002E556D"/>
    <w:rsid w:val="002F07AD"/>
    <w:rsid w:val="002F0D38"/>
    <w:rsid w:val="002F2386"/>
    <w:rsid w:val="002F417B"/>
    <w:rsid w:val="002F513D"/>
    <w:rsid w:val="002F6083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0762B"/>
    <w:rsid w:val="00310367"/>
    <w:rsid w:val="00310B64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0442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737"/>
    <w:rsid w:val="003415DE"/>
    <w:rsid w:val="00341C31"/>
    <w:rsid w:val="00342AE0"/>
    <w:rsid w:val="00342CA1"/>
    <w:rsid w:val="00342EC8"/>
    <w:rsid w:val="003430DA"/>
    <w:rsid w:val="0034413C"/>
    <w:rsid w:val="00344F4D"/>
    <w:rsid w:val="003455AC"/>
    <w:rsid w:val="00345AC9"/>
    <w:rsid w:val="00345C76"/>
    <w:rsid w:val="00346611"/>
    <w:rsid w:val="00347B92"/>
    <w:rsid w:val="0035010F"/>
    <w:rsid w:val="003504C4"/>
    <w:rsid w:val="0035067E"/>
    <w:rsid w:val="003515C7"/>
    <w:rsid w:val="00352A24"/>
    <w:rsid w:val="00352C7C"/>
    <w:rsid w:val="0035415B"/>
    <w:rsid w:val="003544E9"/>
    <w:rsid w:val="00354607"/>
    <w:rsid w:val="00354BED"/>
    <w:rsid w:val="0035607B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AD5"/>
    <w:rsid w:val="00370B2C"/>
    <w:rsid w:val="00371D80"/>
    <w:rsid w:val="0037277F"/>
    <w:rsid w:val="00372EA8"/>
    <w:rsid w:val="00373C12"/>
    <w:rsid w:val="003751D3"/>
    <w:rsid w:val="003752C8"/>
    <w:rsid w:val="00376326"/>
    <w:rsid w:val="00376602"/>
    <w:rsid w:val="00376AB3"/>
    <w:rsid w:val="00376E37"/>
    <w:rsid w:val="003802AA"/>
    <w:rsid w:val="00380ADB"/>
    <w:rsid w:val="00382223"/>
    <w:rsid w:val="00382308"/>
    <w:rsid w:val="00382CB6"/>
    <w:rsid w:val="00383403"/>
    <w:rsid w:val="00383FF0"/>
    <w:rsid w:val="00385521"/>
    <w:rsid w:val="00387155"/>
    <w:rsid w:val="00387781"/>
    <w:rsid w:val="00391107"/>
    <w:rsid w:val="00391596"/>
    <w:rsid w:val="0039224A"/>
    <w:rsid w:val="00393AA4"/>
    <w:rsid w:val="003946F8"/>
    <w:rsid w:val="003949B9"/>
    <w:rsid w:val="003956F0"/>
    <w:rsid w:val="00395E0D"/>
    <w:rsid w:val="00397A2C"/>
    <w:rsid w:val="00397CF4"/>
    <w:rsid w:val="003A2970"/>
    <w:rsid w:val="003A43AA"/>
    <w:rsid w:val="003A4628"/>
    <w:rsid w:val="003A485F"/>
    <w:rsid w:val="003A52EB"/>
    <w:rsid w:val="003A6598"/>
    <w:rsid w:val="003A6EAD"/>
    <w:rsid w:val="003A70EE"/>
    <w:rsid w:val="003A72A8"/>
    <w:rsid w:val="003B0CA7"/>
    <w:rsid w:val="003B0FE5"/>
    <w:rsid w:val="003B182D"/>
    <w:rsid w:val="003B5258"/>
    <w:rsid w:val="003B5812"/>
    <w:rsid w:val="003B5AF7"/>
    <w:rsid w:val="003B7A3F"/>
    <w:rsid w:val="003C0711"/>
    <w:rsid w:val="003C1862"/>
    <w:rsid w:val="003C21CB"/>
    <w:rsid w:val="003C254B"/>
    <w:rsid w:val="003C2741"/>
    <w:rsid w:val="003C44DC"/>
    <w:rsid w:val="003C4978"/>
    <w:rsid w:val="003C4988"/>
    <w:rsid w:val="003C5311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01A"/>
    <w:rsid w:val="00400952"/>
    <w:rsid w:val="004017FA"/>
    <w:rsid w:val="00401AF3"/>
    <w:rsid w:val="0040417F"/>
    <w:rsid w:val="004047C2"/>
    <w:rsid w:val="00404D71"/>
    <w:rsid w:val="00412378"/>
    <w:rsid w:val="004128CC"/>
    <w:rsid w:val="00413005"/>
    <w:rsid w:val="0041399D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23C"/>
    <w:rsid w:val="0044479E"/>
    <w:rsid w:val="00446416"/>
    <w:rsid w:val="004505CA"/>
    <w:rsid w:val="0045114A"/>
    <w:rsid w:val="00451B05"/>
    <w:rsid w:val="00452385"/>
    <w:rsid w:val="004525A0"/>
    <w:rsid w:val="00457027"/>
    <w:rsid w:val="004571E4"/>
    <w:rsid w:val="004604F4"/>
    <w:rsid w:val="00461AFE"/>
    <w:rsid w:val="00464921"/>
    <w:rsid w:val="004663D8"/>
    <w:rsid w:val="00467063"/>
    <w:rsid w:val="004710FB"/>
    <w:rsid w:val="0047177B"/>
    <w:rsid w:val="004727E7"/>
    <w:rsid w:val="00474595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86325"/>
    <w:rsid w:val="004912BD"/>
    <w:rsid w:val="00491AE1"/>
    <w:rsid w:val="0049275C"/>
    <w:rsid w:val="00493C42"/>
    <w:rsid w:val="00494AB2"/>
    <w:rsid w:val="00495911"/>
    <w:rsid w:val="00495D51"/>
    <w:rsid w:val="004964D2"/>
    <w:rsid w:val="004969D6"/>
    <w:rsid w:val="004972F7"/>
    <w:rsid w:val="00497D53"/>
    <w:rsid w:val="004A0291"/>
    <w:rsid w:val="004A0741"/>
    <w:rsid w:val="004A27B7"/>
    <w:rsid w:val="004A2D4E"/>
    <w:rsid w:val="004A40D4"/>
    <w:rsid w:val="004A4419"/>
    <w:rsid w:val="004A474B"/>
    <w:rsid w:val="004A4DD2"/>
    <w:rsid w:val="004A63A1"/>
    <w:rsid w:val="004A739D"/>
    <w:rsid w:val="004A7557"/>
    <w:rsid w:val="004B164B"/>
    <w:rsid w:val="004B2077"/>
    <w:rsid w:val="004B2800"/>
    <w:rsid w:val="004B2835"/>
    <w:rsid w:val="004B2E8A"/>
    <w:rsid w:val="004B4579"/>
    <w:rsid w:val="004B4EF3"/>
    <w:rsid w:val="004B4FD9"/>
    <w:rsid w:val="004B5D5B"/>
    <w:rsid w:val="004B6A13"/>
    <w:rsid w:val="004B72A0"/>
    <w:rsid w:val="004C0692"/>
    <w:rsid w:val="004C0F5A"/>
    <w:rsid w:val="004C23AC"/>
    <w:rsid w:val="004C356C"/>
    <w:rsid w:val="004C38C7"/>
    <w:rsid w:val="004C6112"/>
    <w:rsid w:val="004C6499"/>
    <w:rsid w:val="004D08B5"/>
    <w:rsid w:val="004D1869"/>
    <w:rsid w:val="004D1D4A"/>
    <w:rsid w:val="004D3F1A"/>
    <w:rsid w:val="004D431A"/>
    <w:rsid w:val="004D54A9"/>
    <w:rsid w:val="004D7DEC"/>
    <w:rsid w:val="004E0E3F"/>
    <w:rsid w:val="004E131E"/>
    <w:rsid w:val="004E2B35"/>
    <w:rsid w:val="004E378E"/>
    <w:rsid w:val="004E4451"/>
    <w:rsid w:val="004E4F58"/>
    <w:rsid w:val="004E56E5"/>
    <w:rsid w:val="004E5834"/>
    <w:rsid w:val="004F1203"/>
    <w:rsid w:val="004F18DA"/>
    <w:rsid w:val="004F1D39"/>
    <w:rsid w:val="004F1F79"/>
    <w:rsid w:val="004F3A99"/>
    <w:rsid w:val="004F3BA5"/>
    <w:rsid w:val="004F4348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2D11"/>
    <w:rsid w:val="00503A9E"/>
    <w:rsid w:val="00507EF5"/>
    <w:rsid w:val="00511379"/>
    <w:rsid w:val="00516582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B34"/>
    <w:rsid w:val="00521FE2"/>
    <w:rsid w:val="00522FE3"/>
    <w:rsid w:val="00523270"/>
    <w:rsid w:val="00524B25"/>
    <w:rsid w:val="0052586F"/>
    <w:rsid w:val="00525D2E"/>
    <w:rsid w:val="005279F2"/>
    <w:rsid w:val="00527E90"/>
    <w:rsid w:val="0053115E"/>
    <w:rsid w:val="00531953"/>
    <w:rsid w:val="00531975"/>
    <w:rsid w:val="00531C26"/>
    <w:rsid w:val="00532AE5"/>
    <w:rsid w:val="00532E55"/>
    <w:rsid w:val="00536831"/>
    <w:rsid w:val="0053704E"/>
    <w:rsid w:val="00537947"/>
    <w:rsid w:val="00537CF8"/>
    <w:rsid w:val="00537F73"/>
    <w:rsid w:val="00540131"/>
    <w:rsid w:val="00540372"/>
    <w:rsid w:val="005423E0"/>
    <w:rsid w:val="00544CB5"/>
    <w:rsid w:val="005475A3"/>
    <w:rsid w:val="005504FE"/>
    <w:rsid w:val="00553B57"/>
    <w:rsid w:val="005540A2"/>
    <w:rsid w:val="00556146"/>
    <w:rsid w:val="005566E1"/>
    <w:rsid w:val="0055695C"/>
    <w:rsid w:val="00556C0B"/>
    <w:rsid w:val="00557AA0"/>
    <w:rsid w:val="005607D7"/>
    <w:rsid w:val="00561772"/>
    <w:rsid w:val="0056342A"/>
    <w:rsid w:val="00563C65"/>
    <w:rsid w:val="00564FD8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4F45"/>
    <w:rsid w:val="00575293"/>
    <w:rsid w:val="005767AC"/>
    <w:rsid w:val="00577D34"/>
    <w:rsid w:val="00577D53"/>
    <w:rsid w:val="005802E1"/>
    <w:rsid w:val="0058176D"/>
    <w:rsid w:val="00582314"/>
    <w:rsid w:val="00583E8B"/>
    <w:rsid w:val="00584C91"/>
    <w:rsid w:val="00586FD2"/>
    <w:rsid w:val="00590677"/>
    <w:rsid w:val="00590767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1EB1"/>
    <w:rsid w:val="005B3724"/>
    <w:rsid w:val="005B44DF"/>
    <w:rsid w:val="005B5916"/>
    <w:rsid w:val="005B6777"/>
    <w:rsid w:val="005B6A6A"/>
    <w:rsid w:val="005B6C3D"/>
    <w:rsid w:val="005B6FA3"/>
    <w:rsid w:val="005B78A8"/>
    <w:rsid w:val="005C032D"/>
    <w:rsid w:val="005C0445"/>
    <w:rsid w:val="005C0AA1"/>
    <w:rsid w:val="005C0DEF"/>
    <w:rsid w:val="005C139C"/>
    <w:rsid w:val="005C18D3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5451"/>
    <w:rsid w:val="005E6587"/>
    <w:rsid w:val="005E6BE0"/>
    <w:rsid w:val="005E76C1"/>
    <w:rsid w:val="005E7EE1"/>
    <w:rsid w:val="005F0004"/>
    <w:rsid w:val="005F227A"/>
    <w:rsid w:val="005F2599"/>
    <w:rsid w:val="005F281D"/>
    <w:rsid w:val="005F30B3"/>
    <w:rsid w:val="005F39B9"/>
    <w:rsid w:val="005F3BD9"/>
    <w:rsid w:val="005F632F"/>
    <w:rsid w:val="005F7891"/>
    <w:rsid w:val="005F7FA2"/>
    <w:rsid w:val="006008A0"/>
    <w:rsid w:val="0060233E"/>
    <w:rsid w:val="00602E85"/>
    <w:rsid w:val="00602F7D"/>
    <w:rsid w:val="00603ABE"/>
    <w:rsid w:val="00604C65"/>
    <w:rsid w:val="00604F80"/>
    <w:rsid w:val="006053BC"/>
    <w:rsid w:val="00605C29"/>
    <w:rsid w:val="00606246"/>
    <w:rsid w:val="00606C5E"/>
    <w:rsid w:val="006116B7"/>
    <w:rsid w:val="00612ECB"/>
    <w:rsid w:val="006157E0"/>
    <w:rsid w:val="006177D1"/>
    <w:rsid w:val="0062167F"/>
    <w:rsid w:val="00624CFB"/>
    <w:rsid w:val="00625779"/>
    <w:rsid w:val="006303D9"/>
    <w:rsid w:val="00630648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3CA9"/>
    <w:rsid w:val="00654FD9"/>
    <w:rsid w:val="006552A2"/>
    <w:rsid w:val="00656423"/>
    <w:rsid w:val="00656D5A"/>
    <w:rsid w:val="00660E68"/>
    <w:rsid w:val="0066184F"/>
    <w:rsid w:val="00661BAA"/>
    <w:rsid w:val="00663242"/>
    <w:rsid w:val="0066432D"/>
    <w:rsid w:val="00664EBC"/>
    <w:rsid w:val="00665EB7"/>
    <w:rsid w:val="00667582"/>
    <w:rsid w:val="006706C9"/>
    <w:rsid w:val="00673005"/>
    <w:rsid w:val="00673006"/>
    <w:rsid w:val="00673310"/>
    <w:rsid w:val="0067420F"/>
    <w:rsid w:val="00674830"/>
    <w:rsid w:val="006801B2"/>
    <w:rsid w:val="0068316B"/>
    <w:rsid w:val="00684908"/>
    <w:rsid w:val="00685D72"/>
    <w:rsid w:val="006878F9"/>
    <w:rsid w:val="006905B9"/>
    <w:rsid w:val="006925BF"/>
    <w:rsid w:val="0069446C"/>
    <w:rsid w:val="00694AB4"/>
    <w:rsid w:val="006954EA"/>
    <w:rsid w:val="0069680A"/>
    <w:rsid w:val="00697122"/>
    <w:rsid w:val="006A12B8"/>
    <w:rsid w:val="006A1FAC"/>
    <w:rsid w:val="006A356E"/>
    <w:rsid w:val="006A367C"/>
    <w:rsid w:val="006A3863"/>
    <w:rsid w:val="006A3933"/>
    <w:rsid w:val="006A3B0A"/>
    <w:rsid w:val="006A3B3B"/>
    <w:rsid w:val="006A5CCC"/>
    <w:rsid w:val="006A63B6"/>
    <w:rsid w:val="006A6EA6"/>
    <w:rsid w:val="006B0E53"/>
    <w:rsid w:val="006B1188"/>
    <w:rsid w:val="006B3281"/>
    <w:rsid w:val="006B51AE"/>
    <w:rsid w:val="006B5EB1"/>
    <w:rsid w:val="006B6E8F"/>
    <w:rsid w:val="006B7625"/>
    <w:rsid w:val="006B7BC4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2A8C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1BFF"/>
    <w:rsid w:val="006F279F"/>
    <w:rsid w:val="006F3752"/>
    <w:rsid w:val="006F4827"/>
    <w:rsid w:val="006F543B"/>
    <w:rsid w:val="006F5B65"/>
    <w:rsid w:val="006F7BB2"/>
    <w:rsid w:val="00700452"/>
    <w:rsid w:val="00700BCB"/>
    <w:rsid w:val="00702087"/>
    <w:rsid w:val="00703E24"/>
    <w:rsid w:val="007043BE"/>
    <w:rsid w:val="0070581C"/>
    <w:rsid w:val="00706371"/>
    <w:rsid w:val="007079BD"/>
    <w:rsid w:val="0071196C"/>
    <w:rsid w:val="00711B76"/>
    <w:rsid w:val="00711D33"/>
    <w:rsid w:val="007133FF"/>
    <w:rsid w:val="00713653"/>
    <w:rsid w:val="00716498"/>
    <w:rsid w:val="00716DC7"/>
    <w:rsid w:val="007171C1"/>
    <w:rsid w:val="007201EF"/>
    <w:rsid w:val="00720363"/>
    <w:rsid w:val="007240D6"/>
    <w:rsid w:val="00724382"/>
    <w:rsid w:val="00725BF9"/>
    <w:rsid w:val="00726557"/>
    <w:rsid w:val="007310C9"/>
    <w:rsid w:val="007324C6"/>
    <w:rsid w:val="00733102"/>
    <w:rsid w:val="00733525"/>
    <w:rsid w:val="00733996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0A9"/>
    <w:rsid w:val="0075048C"/>
    <w:rsid w:val="00751445"/>
    <w:rsid w:val="00751865"/>
    <w:rsid w:val="0075282F"/>
    <w:rsid w:val="00752A1A"/>
    <w:rsid w:val="00753BE7"/>
    <w:rsid w:val="00753C7B"/>
    <w:rsid w:val="00753D4D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53AA"/>
    <w:rsid w:val="0076553C"/>
    <w:rsid w:val="00766532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1E44"/>
    <w:rsid w:val="00784F85"/>
    <w:rsid w:val="00787242"/>
    <w:rsid w:val="00787A67"/>
    <w:rsid w:val="0079016B"/>
    <w:rsid w:val="0079052E"/>
    <w:rsid w:val="0079180F"/>
    <w:rsid w:val="00791DA6"/>
    <w:rsid w:val="00792B01"/>
    <w:rsid w:val="0079305D"/>
    <w:rsid w:val="00795F04"/>
    <w:rsid w:val="00796FBD"/>
    <w:rsid w:val="0079712E"/>
    <w:rsid w:val="007971CB"/>
    <w:rsid w:val="007A005B"/>
    <w:rsid w:val="007A0CD8"/>
    <w:rsid w:val="007A21AF"/>
    <w:rsid w:val="007A5488"/>
    <w:rsid w:val="007A7C02"/>
    <w:rsid w:val="007B06A4"/>
    <w:rsid w:val="007B0926"/>
    <w:rsid w:val="007B3431"/>
    <w:rsid w:val="007B4D3E"/>
    <w:rsid w:val="007B4FA7"/>
    <w:rsid w:val="007B6F31"/>
    <w:rsid w:val="007C358D"/>
    <w:rsid w:val="007C475D"/>
    <w:rsid w:val="007C47F6"/>
    <w:rsid w:val="007C4A14"/>
    <w:rsid w:val="007C568A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12A"/>
    <w:rsid w:val="007E4512"/>
    <w:rsid w:val="007E55B6"/>
    <w:rsid w:val="007E567E"/>
    <w:rsid w:val="007E683B"/>
    <w:rsid w:val="007E6EEF"/>
    <w:rsid w:val="007E7945"/>
    <w:rsid w:val="007F02FC"/>
    <w:rsid w:val="007F102A"/>
    <w:rsid w:val="007F359B"/>
    <w:rsid w:val="007F4B65"/>
    <w:rsid w:val="007F60AD"/>
    <w:rsid w:val="007F6788"/>
    <w:rsid w:val="007F6793"/>
    <w:rsid w:val="008018C8"/>
    <w:rsid w:val="0080467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6F1"/>
    <w:rsid w:val="00810E41"/>
    <w:rsid w:val="00816FBF"/>
    <w:rsid w:val="0081790E"/>
    <w:rsid w:val="00820FDF"/>
    <w:rsid w:val="00822259"/>
    <w:rsid w:val="00822AE1"/>
    <w:rsid w:val="00824810"/>
    <w:rsid w:val="008255FC"/>
    <w:rsid w:val="00825714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46E2"/>
    <w:rsid w:val="00834EA5"/>
    <w:rsid w:val="00836EB3"/>
    <w:rsid w:val="008372E9"/>
    <w:rsid w:val="008402A8"/>
    <w:rsid w:val="0084097B"/>
    <w:rsid w:val="0084271F"/>
    <w:rsid w:val="00844ABB"/>
    <w:rsid w:val="00846F4A"/>
    <w:rsid w:val="00847711"/>
    <w:rsid w:val="00847A8E"/>
    <w:rsid w:val="00852EEA"/>
    <w:rsid w:val="00855936"/>
    <w:rsid w:val="008561F3"/>
    <w:rsid w:val="00856B6F"/>
    <w:rsid w:val="00856EAC"/>
    <w:rsid w:val="0085733F"/>
    <w:rsid w:val="0085751C"/>
    <w:rsid w:val="008611A9"/>
    <w:rsid w:val="00863391"/>
    <w:rsid w:val="00864A02"/>
    <w:rsid w:val="00871671"/>
    <w:rsid w:val="008723EF"/>
    <w:rsid w:val="00872DAF"/>
    <w:rsid w:val="00872EAD"/>
    <w:rsid w:val="00873394"/>
    <w:rsid w:val="00873CB5"/>
    <w:rsid w:val="008756C7"/>
    <w:rsid w:val="0087631D"/>
    <w:rsid w:val="00876A17"/>
    <w:rsid w:val="00880473"/>
    <w:rsid w:val="008806A9"/>
    <w:rsid w:val="00880EEF"/>
    <w:rsid w:val="008860CB"/>
    <w:rsid w:val="00887370"/>
    <w:rsid w:val="008877D2"/>
    <w:rsid w:val="00894BF1"/>
    <w:rsid w:val="0089503A"/>
    <w:rsid w:val="00895DA2"/>
    <w:rsid w:val="008A126F"/>
    <w:rsid w:val="008A2050"/>
    <w:rsid w:val="008A3CFD"/>
    <w:rsid w:val="008A40D6"/>
    <w:rsid w:val="008A564F"/>
    <w:rsid w:val="008A6317"/>
    <w:rsid w:val="008B0BC4"/>
    <w:rsid w:val="008B0D22"/>
    <w:rsid w:val="008B1360"/>
    <w:rsid w:val="008B28F2"/>
    <w:rsid w:val="008B5850"/>
    <w:rsid w:val="008B68E1"/>
    <w:rsid w:val="008B79A2"/>
    <w:rsid w:val="008C178F"/>
    <w:rsid w:val="008C241E"/>
    <w:rsid w:val="008C2787"/>
    <w:rsid w:val="008C50AC"/>
    <w:rsid w:val="008C61B9"/>
    <w:rsid w:val="008C6B93"/>
    <w:rsid w:val="008C7665"/>
    <w:rsid w:val="008D064D"/>
    <w:rsid w:val="008D06A4"/>
    <w:rsid w:val="008D1947"/>
    <w:rsid w:val="008D5843"/>
    <w:rsid w:val="008D7028"/>
    <w:rsid w:val="008D7C82"/>
    <w:rsid w:val="008E1293"/>
    <w:rsid w:val="008E2EBA"/>
    <w:rsid w:val="008E4181"/>
    <w:rsid w:val="008E44DE"/>
    <w:rsid w:val="008E5869"/>
    <w:rsid w:val="008E5F93"/>
    <w:rsid w:val="008E5FB7"/>
    <w:rsid w:val="008F0C54"/>
    <w:rsid w:val="008F0E0D"/>
    <w:rsid w:val="008F152F"/>
    <w:rsid w:val="008F2300"/>
    <w:rsid w:val="008F79FE"/>
    <w:rsid w:val="008F7F3D"/>
    <w:rsid w:val="00900D68"/>
    <w:rsid w:val="0090294D"/>
    <w:rsid w:val="00903576"/>
    <w:rsid w:val="009055A5"/>
    <w:rsid w:val="00906BE7"/>
    <w:rsid w:val="00910011"/>
    <w:rsid w:val="0091074A"/>
    <w:rsid w:val="00911062"/>
    <w:rsid w:val="00911782"/>
    <w:rsid w:val="00912089"/>
    <w:rsid w:val="00912B13"/>
    <w:rsid w:val="00915886"/>
    <w:rsid w:val="0091650C"/>
    <w:rsid w:val="009207EC"/>
    <w:rsid w:val="00920BBA"/>
    <w:rsid w:val="00920D81"/>
    <w:rsid w:val="00921B62"/>
    <w:rsid w:val="009224C1"/>
    <w:rsid w:val="0092266B"/>
    <w:rsid w:val="00923464"/>
    <w:rsid w:val="009235BA"/>
    <w:rsid w:val="00924B0A"/>
    <w:rsid w:val="0092694A"/>
    <w:rsid w:val="00926E0D"/>
    <w:rsid w:val="00930D0E"/>
    <w:rsid w:val="0093119B"/>
    <w:rsid w:val="0093156D"/>
    <w:rsid w:val="0093269C"/>
    <w:rsid w:val="009338BF"/>
    <w:rsid w:val="00934D84"/>
    <w:rsid w:val="00934E6F"/>
    <w:rsid w:val="00935276"/>
    <w:rsid w:val="00940DDA"/>
    <w:rsid w:val="00941C6B"/>
    <w:rsid w:val="00941FFD"/>
    <w:rsid w:val="00944E64"/>
    <w:rsid w:val="00944FBB"/>
    <w:rsid w:val="009457FA"/>
    <w:rsid w:val="00947550"/>
    <w:rsid w:val="009476B5"/>
    <w:rsid w:val="00947B8A"/>
    <w:rsid w:val="00947DD4"/>
    <w:rsid w:val="009502B2"/>
    <w:rsid w:val="009503B9"/>
    <w:rsid w:val="00950B4D"/>
    <w:rsid w:val="0095207B"/>
    <w:rsid w:val="009525EA"/>
    <w:rsid w:val="00953E7F"/>
    <w:rsid w:val="009550DE"/>
    <w:rsid w:val="00955AC7"/>
    <w:rsid w:val="009567CF"/>
    <w:rsid w:val="00957A74"/>
    <w:rsid w:val="00957E14"/>
    <w:rsid w:val="00960180"/>
    <w:rsid w:val="009606EF"/>
    <w:rsid w:val="00961381"/>
    <w:rsid w:val="00961796"/>
    <w:rsid w:val="00962241"/>
    <w:rsid w:val="00963F24"/>
    <w:rsid w:val="009664F8"/>
    <w:rsid w:val="00966677"/>
    <w:rsid w:val="00967A89"/>
    <w:rsid w:val="0097057B"/>
    <w:rsid w:val="00970832"/>
    <w:rsid w:val="009748DA"/>
    <w:rsid w:val="00975521"/>
    <w:rsid w:val="00976CFE"/>
    <w:rsid w:val="00977890"/>
    <w:rsid w:val="00984410"/>
    <w:rsid w:val="009848CD"/>
    <w:rsid w:val="00984921"/>
    <w:rsid w:val="00984CF3"/>
    <w:rsid w:val="00985054"/>
    <w:rsid w:val="009863EE"/>
    <w:rsid w:val="00986A51"/>
    <w:rsid w:val="009876CB"/>
    <w:rsid w:val="0099033D"/>
    <w:rsid w:val="009920AC"/>
    <w:rsid w:val="00992B88"/>
    <w:rsid w:val="00993511"/>
    <w:rsid w:val="00993BFA"/>
    <w:rsid w:val="009953AB"/>
    <w:rsid w:val="009963D3"/>
    <w:rsid w:val="0099678B"/>
    <w:rsid w:val="009970AF"/>
    <w:rsid w:val="009A003C"/>
    <w:rsid w:val="009A035B"/>
    <w:rsid w:val="009A04AD"/>
    <w:rsid w:val="009A0845"/>
    <w:rsid w:val="009A098B"/>
    <w:rsid w:val="009A0B0F"/>
    <w:rsid w:val="009A0B4A"/>
    <w:rsid w:val="009A166C"/>
    <w:rsid w:val="009A1A51"/>
    <w:rsid w:val="009A2248"/>
    <w:rsid w:val="009A59D4"/>
    <w:rsid w:val="009A6C7D"/>
    <w:rsid w:val="009A6EAC"/>
    <w:rsid w:val="009A77EC"/>
    <w:rsid w:val="009B0F69"/>
    <w:rsid w:val="009B10D7"/>
    <w:rsid w:val="009B18FF"/>
    <w:rsid w:val="009B23DA"/>
    <w:rsid w:val="009B3F76"/>
    <w:rsid w:val="009B53E0"/>
    <w:rsid w:val="009B5C50"/>
    <w:rsid w:val="009B62BE"/>
    <w:rsid w:val="009B7B54"/>
    <w:rsid w:val="009C01AA"/>
    <w:rsid w:val="009C0562"/>
    <w:rsid w:val="009C1F36"/>
    <w:rsid w:val="009C2407"/>
    <w:rsid w:val="009C3BE0"/>
    <w:rsid w:val="009C4057"/>
    <w:rsid w:val="009C4811"/>
    <w:rsid w:val="009C4CC2"/>
    <w:rsid w:val="009C5721"/>
    <w:rsid w:val="009D14BE"/>
    <w:rsid w:val="009D1F32"/>
    <w:rsid w:val="009D2755"/>
    <w:rsid w:val="009D461F"/>
    <w:rsid w:val="009E10CA"/>
    <w:rsid w:val="009E1698"/>
    <w:rsid w:val="009E339A"/>
    <w:rsid w:val="009E4F8F"/>
    <w:rsid w:val="009E57E1"/>
    <w:rsid w:val="009E59A6"/>
    <w:rsid w:val="009E739A"/>
    <w:rsid w:val="009F39F2"/>
    <w:rsid w:val="009F3F7E"/>
    <w:rsid w:val="009F56C6"/>
    <w:rsid w:val="009F60E0"/>
    <w:rsid w:val="009F70B3"/>
    <w:rsid w:val="009F7793"/>
    <w:rsid w:val="009F7988"/>
    <w:rsid w:val="00A00524"/>
    <w:rsid w:val="00A029F4"/>
    <w:rsid w:val="00A058D5"/>
    <w:rsid w:val="00A0704C"/>
    <w:rsid w:val="00A074C6"/>
    <w:rsid w:val="00A11345"/>
    <w:rsid w:val="00A11694"/>
    <w:rsid w:val="00A117DE"/>
    <w:rsid w:val="00A11B23"/>
    <w:rsid w:val="00A12627"/>
    <w:rsid w:val="00A130ED"/>
    <w:rsid w:val="00A1510E"/>
    <w:rsid w:val="00A15ECE"/>
    <w:rsid w:val="00A162A2"/>
    <w:rsid w:val="00A16598"/>
    <w:rsid w:val="00A16F22"/>
    <w:rsid w:val="00A17701"/>
    <w:rsid w:val="00A17D5D"/>
    <w:rsid w:val="00A239D3"/>
    <w:rsid w:val="00A246B7"/>
    <w:rsid w:val="00A24F07"/>
    <w:rsid w:val="00A25F7E"/>
    <w:rsid w:val="00A27A15"/>
    <w:rsid w:val="00A31B66"/>
    <w:rsid w:val="00A32324"/>
    <w:rsid w:val="00A32AB3"/>
    <w:rsid w:val="00A3379D"/>
    <w:rsid w:val="00A37B70"/>
    <w:rsid w:val="00A408FF"/>
    <w:rsid w:val="00A40B15"/>
    <w:rsid w:val="00A43624"/>
    <w:rsid w:val="00A440BE"/>
    <w:rsid w:val="00A452EA"/>
    <w:rsid w:val="00A46E5D"/>
    <w:rsid w:val="00A4762F"/>
    <w:rsid w:val="00A5034E"/>
    <w:rsid w:val="00A51436"/>
    <w:rsid w:val="00A52B8D"/>
    <w:rsid w:val="00A53017"/>
    <w:rsid w:val="00A53F2C"/>
    <w:rsid w:val="00A56106"/>
    <w:rsid w:val="00A57A84"/>
    <w:rsid w:val="00A57CBB"/>
    <w:rsid w:val="00A60BEA"/>
    <w:rsid w:val="00A61B09"/>
    <w:rsid w:val="00A6405E"/>
    <w:rsid w:val="00A64763"/>
    <w:rsid w:val="00A6686F"/>
    <w:rsid w:val="00A7073E"/>
    <w:rsid w:val="00A7136F"/>
    <w:rsid w:val="00A71DD0"/>
    <w:rsid w:val="00A73824"/>
    <w:rsid w:val="00A73DA2"/>
    <w:rsid w:val="00A74878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245B"/>
    <w:rsid w:val="00A9309B"/>
    <w:rsid w:val="00A93C70"/>
    <w:rsid w:val="00A943C9"/>
    <w:rsid w:val="00A94DDA"/>
    <w:rsid w:val="00A95E42"/>
    <w:rsid w:val="00AA147A"/>
    <w:rsid w:val="00AA1AEB"/>
    <w:rsid w:val="00AA213B"/>
    <w:rsid w:val="00AA2C7C"/>
    <w:rsid w:val="00AA31AD"/>
    <w:rsid w:val="00AA42FF"/>
    <w:rsid w:val="00AA467C"/>
    <w:rsid w:val="00AA5632"/>
    <w:rsid w:val="00AA56BE"/>
    <w:rsid w:val="00AA5B23"/>
    <w:rsid w:val="00AA6B00"/>
    <w:rsid w:val="00AA7BD9"/>
    <w:rsid w:val="00AB02FB"/>
    <w:rsid w:val="00AB0B64"/>
    <w:rsid w:val="00AB2B7F"/>
    <w:rsid w:val="00AB2EEE"/>
    <w:rsid w:val="00AB448F"/>
    <w:rsid w:val="00AB560C"/>
    <w:rsid w:val="00AB582A"/>
    <w:rsid w:val="00AB5A3E"/>
    <w:rsid w:val="00AB5DBE"/>
    <w:rsid w:val="00AB6811"/>
    <w:rsid w:val="00AB68A7"/>
    <w:rsid w:val="00AB7491"/>
    <w:rsid w:val="00AC05E3"/>
    <w:rsid w:val="00AC082A"/>
    <w:rsid w:val="00AC0F98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B5A"/>
    <w:rsid w:val="00AD56A2"/>
    <w:rsid w:val="00AD66B7"/>
    <w:rsid w:val="00AD7C36"/>
    <w:rsid w:val="00AE12C2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1C26"/>
    <w:rsid w:val="00B02D93"/>
    <w:rsid w:val="00B03695"/>
    <w:rsid w:val="00B039E6"/>
    <w:rsid w:val="00B042B7"/>
    <w:rsid w:val="00B05015"/>
    <w:rsid w:val="00B062A7"/>
    <w:rsid w:val="00B06960"/>
    <w:rsid w:val="00B07948"/>
    <w:rsid w:val="00B1198A"/>
    <w:rsid w:val="00B12218"/>
    <w:rsid w:val="00B1246F"/>
    <w:rsid w:val="00B124FE"/>
    <w:rsid w:val="00B13882"/>
    <w:rsid w:val="00B14D93"/>
    <w:rsid w:val="00B14DBF"/>
    <w:rsid w:val="00B1568D"/>
    <w:rsid w:val="00B221BC"/>
    <w:rsid w:val="00B228F6"/>
    <w:rsid w:val="00B22F10"/>
    <w:rsid w:val="00B2318E"/>
    <w:rsid w:val="00B231F5"/>
    <w:rsid w:val="00B239CF"/>
    <w:rsid w:val="00B26AF8"/>
    <w:rsid w:val="00B2781B"/>
    <w:rsid w:val="00B329F5"/>
    <w:rsid w:val="00B3551B"/>
    <w:rsid w:val="00B37436"/>
    <w:rsid w:val="00B406D1"/>
    <w:rsid w:val="00B41DE2"/>
    <w:rsid w:val="00B423FA"/>
    <w:rsid w:val="00B42536"/>
    <w:rsid w:val="00B43C04"/>
    <w:rsid w:val="00B43ECB"/>
    <w:rsid w:val="00B4483C"/>
    <w:rsid w:val="00B451FB"/>
    <w:rsid w:val="00B454EA"/>
    <w:rsid w:val="00B45D08"/>
    <w:rsid w:val="00B46A3E"/>
    <w:rsid w:val="00B46C36"/>
    <w:rsid w:val="00B50119"/>
    <w:rsid w:val="00B513EE"/>
    <w:rsid w:val="00B51E2F"/>
    <w:rsid w:val="00B53774"/>
    <w:rsid w:val="00B541F6"/>
    <w:rsid w:val="00B5443E"/>
    <w:rsid w:val="00B55427"/>
    <w:rsid w:val="00B5599F"/>
    <w:rsid w:val="00B55F30"/>
    <w:rsid w:val="00B600B3"/>
    <w:rsid w:val="00B604EA"/>
    <w:rsid w:val="00B61748"/>
    <w:rsid w:val="00B61E2A"/>
    <w:rsid w:val="00B626C4"/>
    <w:rsid w:val="00B63401"/>
    <w:rsid w:val="00B64E7D"/>
    <w:rsid w:val="00B65483"/>
    <w:rsid w:val="00B65505"/>
    <w:rsid w:val="00B665DE"/>
    <w:rsid w:val="00B66A02"/>
    <w:rsid w:val="00B70A3A"/>
    <w:rsid w:val="00B72A7A"/>
    <w:rsid w:val="00B7471F"/>
    <w:rsid w:val="00B74949"/>
    <w:rsid w:val="00B7560E"/>
    <w:rsid w:val="00B75A06"/>
    <w:rsid w:val="00B75A55"/>
    <w:rsid w:val="00B76650"/>
    <w:rsid w:val="00B77AEC"/>
    <w:rsid w:val="00B807AD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5674"/>
    <w:rsid w:val="00B95F90"/>
    <w:rsid w:val="00B9655F"/>
    <w:rsid w:val="00B97276"/>
    <w:rsid w:val="00B979FC"/>
    <w:rsid w:val="00BA0120"/>
    <w:rsid w:val="00BA0D81"/>
    <w:rsid w:val="00BA18AD"/>
    <w:rsid w:val="00BA56A4"/>
    <w:rsid w:val="00BA672C"/>
    <w:rsid w:val="00BA7203"/>
    <w:rsid w:val="00BB009B"/>
    <w:rsid w:val="00BB0323"/>
    <w:rsid w:val="00BB21A7"/>
    <w:rsid w:val="00BB26BA"/>
    <w:rsid w:val="00BB46CA"/>
    <w:rsid w:val="00BB4C30"/>
    <w:rsid w:val="00BB4D41"/>
    <w:rsid w:val="00BB4E70"/>
    <w:rsid w:val="00BB532A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51EE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64A9"/>
    <w:rsid w:val="00BD7A79"/>
    <w:rsid w:val="00BE1BD4"/>
    <w:rsid w:val="00BE24B9"/>
    <w:rsid w:val="00BE3C86"/>
    <w:rsid w:val="00BE570D"/>
    <w:rsid w:val="00BE5BBB"/>
    <w:rsid w:val="00BE70BA"/>
    <w:rsid w:val="00BF0E4C"/>
    <w:rsid w:val="00BF2993"/>
    <w:rsid w:val="00BF3340"/>
    <w:rsid w:val="00BF53E1"/>
    <w:rsid w:val="00BF5428"/>
    <w:rsid w:val="00BF5F3E"/>
    <w:rsid w:val="00BF7411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07966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D3"/>
    <w:rsid w:val="00C27B0E"/>
    <w:rsid w:val="00C27CC1"/>
    <w:rsid w:val="00C3014F"/>
    <w:rsid w:val="00C30E06"/>
    <w:rsid w:val="00C31D23"/>
    <w:rsid w:val="00C32854"/>
    <w:rsid w:val="00C34B29"/>
    <w:rsid w:val="00C3612B"/>
    <w:rsid w:val="00C365D2"/>
    <w:rsid w:val="00C36F81"/>
    <w:rsid w:val="00C377D4"/>
    <w:rsid w:val="00C40494"/>
    <w:rsid w:val="00C40DA1"/>
    <w:rsid w:val="00C422A3"/>
    <w:rsid w:val="00C42337"/>
    <w:rsid w:val="00C42492"/>
    <w:rsid w:val="00C42A55"/>
    <w:rsid w:val="00C431A1"/>
    <w:rsid w:val="00C458D7"/>
    <w:rsid w:val="00C45CC2"/>
    <w:rsid w:val="00C45E81"/>
    <w:rsid w:val="00C46FF3"/>
    <w:rsid w:val="00C5028A"/>
    <w:rsid w:val="00C538C8"/>
    <w:rsid w:val="00C538E5"/>
    <w:rsid w:val="00C53C67"/>
    <w:rsid w:val="00C548B7"/>
    <w:rsid w:val="00C54919"/>
    <w:rsid w:val="00C54E2A"/>
    <w:rsid w:val="00C5509D"/>
    <w:rsid w:val="00C57781"/>
    <w:rsid w:val="00C605B8"/>
    <w:rsid w:val="00C60F4C"/>
    <w:rsid w:val="00C6101F"/>
    <w:rsid w:val="00C62725"/>
    <w:rsid w:val="00C6374A"/>
    <w:rsid w:val="00C6444B"/>
    <w:rsid w:val="00C6661B"/>
    <w:rsid w:val="00C75CE0"/>
    <w:rsid w:val="00C7688A"/>
    <w:rsid w:val="00C80B0E"/>
    <w:rsid w:val="00C812AE"/>
    <w:rsid w:val="00C81CF4"/>
    <w:rsid w:val="00C82112"/>
    <w:rsid w:val="00C86D1D"/>
    <w:rsid w:val="00C87080"/>
    <w:rsid w:val="00C87D95"/>
    <w:rsid w:val="00C87EB4"/>
    <w:rsid w:val="00C94117"/>
    <w:rsid w:val="00C95A13"/>
    <w:rsid w:val="00C9614A"/>
    <w:rsid w:val="00C9667B"/>
    <w:rsid w:val="00C97150"/>
    <w:rsid w:val="00C978D7"/>
    <w:rsid w:val="00CA1590"/>
    <w:rsid w:val="00CA1F97"/>
    <w:rsid w:val="00CA287A"/>
    <w:rsid w:val="00CA3FB8"/>
    <w:rsid w:val="00CA5EBB"/>
    <w:rsid w:val="00CA6CFC"/>
    <w:rsid w:val="00CA7558"/>
    <w:rsid w:val="00CA7A1D"/>
    <w:rsid w:val="00CA7D19"/>
    <w:rsid w:val="00CB0B5D"/>
    <w:rsid w:val="00CB10F8"/>
    <w:rsid w:val="00CB1852"/>
    <w:rsid w:val="00CB19E0"/>
    <w:rsid w:val="00CB2605"/>
    <w:rsid w:val="00CB453F"/>
    <w:rsid w:val="00CB6376"/>
    <w:rsid w:val="00CB70BA"/>
    <w:rsid w:val="00CB75E5"/>
    <w:rsid w:val="00CC156B"/>
    <w:rsid w:val="00CC1764"/>
    <w:rsid w:val="00CC2B47"/>
    <w:rsid w:val="00CC346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4971"/>
    <w:rsid w:val="00CD4B57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704B"/>
    <w:rsid w:val="00CF2E77"/>
    <w:rsid w:val="00CF30E1"/>
    <w:rsid w:val="00CF310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1080C"/>
    <w:rsid w:val="00D11313"/>
    <w:rsid w:val="00D1257C"/>
    <w:rsid w:val="00D128B3"/>
    <w:rsid w:val="00D13194"/>
    <w:rsid w:val="00D1477C"/>
    <w:rsid w:val="00D14A27"/>
    <w:rsid w:val="00D174FA"/>
    <w:rsid w:val="00D20F10"/>
    <w:rsid w:val="00D21E4F"/>
    <w:rsid w:val="00D22232"/>
    <w:rsid w:val="00D224BC"/>
    <w:rsid w:val="00D242A0"/>
    <w:rsid w:val="00D2483B"/>
    <w:rsid w:val="00D248AE"/>
    <w:rsid w:val="00D25D55"/>
    <w:rsid w:val="00D2678E"/>
    <w:rsid w:val="00D273ED"/>
    <w:rsid w:val="00D2755B"/>
    <w:rsid w:val="00D31299"/>
    <w:rsid w:val="00D321C8"/>
    <w:rsid w:val="00D32918"/>
    <w:rsid w:val="00D3340F"/>
    <w:rsid w:val="00D33A5B"/>
    <w:rsid w:val="00D33D3A"/>
    <w:rsid w:val="00D36325"/>
    <w:rsid w:val="00D37C62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18F0"/>
    <w:rsid w:val="00D53CB8"/>
    <w:rsid w:val="00D54B31"/>
    <w:rsid w:val="00D54DF8"/>
    <w:rsid w:val="00D55665"/>
    <w:rsid w:val="00D566A4"/>
    <w:rsid w:val="00D56A8F"/>
    <w:rsid w:val="00D56C49"/>
    <w:rsid w:val="00D57B9E"/>
    <w:rsid w:val="00D60BEC"/>
    <w:rsid w:val="00D61B55"/>
    <w:rsid w:val="00D62C86"/>
    <w:rsid w:val="00D6534A"/>
    <w:rsid w:val="00D678F9"/>
    <w:rsid w:val="00D716FF"/>
    <w:rsid w:val="00D72A44"/>
    <w:rsid w:val="00D73D84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7A0C"/>
    <w:rsid w:val="00D87A1E"/>
    <w:rsid w:val="00D87F82"/>
    <w:rsid w:val="00D91EDB"/>
    <w:rsid w:val="00D92804"/>
    <w:rsid w:val="00D95E88"/>
    <w:rsid w:val="00D96063"/>
    <w:rsid w:val="00DA0EA4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0F4"/>
    <w:rsid w:val="00DC4E2D"/>
    <w:rsid w:val="00DC5ACD"/>
    <w:rsid w:val="00DC62EA"/>
    <w:rsid w:val="00DC671F"/>
    <w:rsid w:val="00DC6726"/>
    <w:rsid w:val="00DC72FA"/>
    <w:rsid w:val="00DD0164"/>
    <w:rsid w:val="00DD1210"/>
    <w:rsid w:val="00DD42A3"/>
    <w:rsid w:val="00DD43B2"/>
    <w:rsid w:val="00DD7445"/>
    <w:rsid w:val="00DE0402"/>
    <w:rsid w:val="00DE0798"/>
    <w:rsid w:val="00DE5766"/>
    <w:rsid w:val="00DE590B"/>
    <w:rsid w:val="00DE5D4E"/>
    <w:rsid w:val="00DE619D"/>
    <w:rsid w:val="00DE6E2E"/>
    <w:rsid w:val="00DF0760"/>
    <w:rsid w:val="00DF0812"/>
    <w:rsid w:val="00DF2A90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3383"/>
    <w:rsid w:val="00E0353A"/>
    <w:rsid w:val="00E0460F"/>
    <w:rsid w:val="00E04C8F"/>
    <w:rsid w:val="00E07B7B"/>
    <w:rsid w:val="00E07D54"/>
    <w:rsid w:val="00E109C9"/>
    <w:rsid w:val="00E12C83"/>
    <w:rsid w:val="00E138BF"/>
    <w:rsid w:val="00E15220"/>
    <w:rsid w:val="00E16488"/>
    <w:rsid w:val="00E174D7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EBD"/>
    <w:rsid w:val="00E27658"/>
    <w:rsid w:val="00E30E13"/>
    <w:rsid w:val="00E31651"/>
    <w:rsid w:val="00E3286D"/>
    <w:rsid w:val="00E3498E"/>
    <w:rsid w:val="00E369E7"/>
    <w:rsid w:val="00E36DA1"/>
    <w:rsid w:val="00E37042"/>
    <w:rsid w:val="00E37900"/>
    <w:rsid w:val="00E4082D"/>
    <w:rsid w:val="00E410A8"/>
    <w:rsid w:val="00E44223"/>
    <w:rsid w:val="00E4797B"/>
    <w:rsid w:val="00E47A6C"/>
    <w:rsid w:val="00E5004D"/>
    <w:rsid w:val="00E50F95"/>
    <w:rsid w:val="00E5254A"/>
    <w:rsid w:val="00E5262E"/>
    <w:rsid w:val="00E52D7D"/>
    <w:rsid w:val="00E5333E"/>
    <w:rsid w:val="00E535F5"/>
    <w:rsid w:val="00E53BE6"/>
    <w:rsid w:val="00E545E9"/>
    <w:rsid w:val="00E559C0"/>
    <w:rsid w:val="00E5601D"/>
    <w:rsid w:val="00E5606A"/>
    <w:rsid w:val="00E56BE0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4349"/>
    <w:rsid w:val="00E75BC7"/>
    <w:rsid w:val="00E80D72"/>
    <w:rsid w:val="00E80FAB"/>
    <w:rsid w:val="00E816EE"/>
    <w:rsid w:val="00E823D4"/>
    <w:rsid w:val="00E82EDA"/>
    <w:rsid w:val="00E8362A"/>
    <w:rsid w:val="00E85D1D"/>
    <w:rsid w:val="00E87A6F"/>
    <w:rsid w:val="00E87C9A"/>
    <w:rsid w:val="00E90A47"/>
    <w:rsid w:val="00E9105B"/>
    <w:rsid w:val="00E9117E"/>
    <w:rsid w:val="00E91C97"/>
    <w:rsid w:val="00E93C85"/>
    <w:rsid w:val="00E94050"/>
    <w:rsid w:val="00E94A1D"/>
    <w:rsid w:val="00E94ACB"/>
    <w:rsid w:val="00E94BDC"/>
    <w:rsid w:val="00E95E58"/>
    <w:rsid w:val="00E96622"/>
    <w:rsid w:val="00E9769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24E8"/>
    <w:rsid w:val="00EC51DA"/>
    <w:rsid w:val="00EC6A77"/>
    <w:rsid w:val="00ED0AC2"/>
    <w:rsid w:val="00ED0CA9"/>
    <w:rsid w:val="00ED1BD8"/>
    <w:rsid w:val="00ED1D03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1EEE"/>
    <w:rsid w:val="00EE2563"/>
    <w:rsid w:val="00EE40F7"/>
    <w:rsid w:val="00EE5250"/>
    <w:rsid w:val="00EE6A34"/>
    <w:rsid w:val="00EE7D1C"/>
    <w:rsid w:val="00EF02B9"/>
    <w:rsid w:val="00EF18D8"/>
    <w:rsid w:val="00EF2267"/>
    <w:rsid w:val="00EF2A7A"/>
    <w:rsid w:val="00EF5CED"/>
    <w:rsid w:val="00EF6098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3675"/>
    <w:rsid w:val="00F04833"/>
    <w:rsid w:val="00F04BD1"/>
    <w:rsid w:val="00F050B7"/>
    <w:rsid w:val="00F05754"/>
    <w:rsid w:val="00F05AFF"/>
    <w:rsid w:val="00F05D94"/>
    <w:rsid w:val="00F064E6"/>
    <w:rsid w:val="00F068E2"/>
    <w:rsid w:val="00F06C4B"/>
    <w:rsid w:val="00F077A0"/>
    <w:rsid w:val="00F07EF1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790"/>
    <w:rsid w:val="00F159EF"/>
    <w:rsid w:val="00F17C77"/>
    <w:rsid w:val="00F2019D"/>
    <w:rsid w:val="00F229B7"/>
    <w:rsid w:val="00F230EA"/>
    <w:rsid w:val="00F24FEB"/>
    <w:rsid w:val="00F25A4C"/>
    <w:rsid w:val="00F27EA1"/>
    <w:rsid w:val="00F32293"/>
    <w:rsid w:val="00F32615"/>
    <w:rsid w:val="00F32FEA"/>
    <w:rsid w:val="00F33905"/>
    <w:rsid w:val="00F41724"/>
    <w:rsid w:val="00F459EA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48A6"/>
    <w:rsid w:val="00F54A35"/>
    <w:rsid w:val="00F55271"/>
    <w:rsid w:val="00F55FBF"/>
    <w:rsid w:val="00F6003E"/>
    <w:rsid w:val="00F60B6C"/>
    <w:rsid w:val="00F61CF6"/>
    <w:rsid w:val="00F6248B"/>
    <w:rsid w:val="00F62AED"/>
    <w:rsid w:val="00F62BCE"/>
    <w:rsid w:val="00F62D6D"/>
    <w:rsid w:val="00F62F85"/>
    <w:rsid w:val="00F63E58"/>
    <w:rsid w:val="00F64EEE"/>
    <w:rsid w:val="00F6538C"/>
    <w:rsid w:val="00F658F4"/>
    <w:rsid w:val="00F668A6"/>
    <w:rsid w:val="00F6726A"/>
    <w:rsid w:val="00F67BD3"/>
    <w:rsid w:val="00F704F7"/>
    <w:rsid w:val="00F71870"/>
    <w:rsid w:val="00F71918"/>
    <w:rsid w:val="00F71DDC"/>
    <w:rsid w:val="00F72A88"/>
    <w:rsid w:val="00F73A75"/>
    <w:rsid w:val="00F74B6F"/>
    <w:rsid w:val="00F74D95"/>
    <w:rsid w:val="00F76B3B"/>
    <w:rsid w:val="00F7723D"/>
    <w:rsid w:val="00F80BFD"/>
    <w:rsid w:val="00F81603"/>
    <w:rsid w:val="00F825FC"/>
    <w:rsid w:val="00F8330D"/>
    <w:rsid w:val="00F8363E"/>
    <w:rsid w:val="00F838C1"/>
    <w:rsid w:val="00F83C8A"/>
    <w:rsid w:val="00F840F4"/>
    <w:rsid w:val="00F844BA"/>
    <w:rsid w:val="00F84C14"/>
    <w:rsid w:val="00F8564F"/>
    <w:rsid w:val="00F867BB"/>
    <w:rsid w:val="00F91192"/>
    <w:rsid w:val="00F91463"/>
    <w:rsid w:val="00F9222F"/>
    <w:rsid w:val="00F94F86"/>
    <w:rsid w:val="00F953CB"/>
    <w:rsid w:val="00F957D7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411E"/>
    <w:rsid w:val="00FB5EF8"/>
    <w:rsid w:val="00FB6DB1"/>
    <w:rsid w:val="00FB76FD"/>
    <w:rsid w:val="00FC180C"/>
    <w:rsid w:val="00FC36FD"/>
    <w:rsid w:val="00FC385F"/>
    <w:rsid w:val="00FC4D94"/>
    <w:rsid w:val="00FC7057"/>
    <w:rsid w:val="00FC72DA"/>
    <w:rsid w:val="00FD0445"/>
    <w:rsid w:val="00FD12EA"/>
    <w:rsid w:val="00FD1556"/>
    <w:rsid w:val="00FD16FA"/>
    <w:rsid w:val="00FD1A4C"/>
    <w:rsid w:val="00FD2853"/>
    <w:rsid w:val="00FD29A9"/>
    <w:rsid w:val="00FD3D04"/>
    <w:rsid w:val="00FD44A5"/>
    <w:rsid w:val="00FD7B3C"/>
    <w:rsid w:val="00FE0B4D"/>
    <w:rsid w:val="00FE0E86"/>
    <w:rsid w:val="00FE25B8"/>
    <w:rsid w:val="00FE50C3"/>
    <w:rsid w:val="00FF1C4B"/>
    <w:rsid w:val="00FF26C6"/>
    <w:rsid w:val="00FF27F7"/>
    <w:rsid w:val="00FF3AA5"/>
    <w:rsid w:val="00FF4F83"/>
    <w:rsid w:val="00FF53A6"/>
    <w:rsid w:val="00FF551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0047741327542"/>
          <c:y val="1.5666223540239316E-3"/>
          <c:w val="0.88619956967142377"/>
          <c:h val="0.595127240030094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детей на начало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125223259243458E-3"/>
                  <c:y val="0.10082549042220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250446518486915E-3"/>
                  <c:y val="0.11143869994033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250446518486915E-3"/>
                  <c:y val="0.11143869994033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12735851421752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0.11146496815286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4371</c:v>
                </c:pt>
                <c:pt idx="1">
                  <c:v>4371</c:v>
                </c:pt>
                <c:pt idx="2">
                  <c:v>4549</c:v>
                </c:pt>
                <c:pt idx="3">
                  <c:v>4549</c:v>
                </c:pt>
                <c:pt idx="4">
                  <c:v>5230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30"/>
        <c:shape val="box"/>
        <c:axId val="108375040"/>
        <c:axId val="110766912"/>
        <c:axId val="0"/>
      </c:bar3DChart>
      <c:catAx>
        <c:axId val="10837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0766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766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83750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623181867891512E-2"/>
          <c:y val="3.3126939874742389E-3"/>
          <c:w val="0.62510662729658806"/>
          <c:h val="0.775386972888943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семей, в отношении которых организована ИПР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1070998796630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870211549456841E-3"/>
                  <c:y val="9.145607701564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101083032490974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6.2575210589651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870211549456841E-3"/>
                  <c:y val="0.11070998796630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</c:v>
                </c:pt>
                <c:pt idx="1">
                  <c:v>13</c:v>
                </c:pt>
                <c:pt idx="2">
                  <c:v>17</c:v>
                </c:pt>
                <c:pt idx="3">
                  <c:v>6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семей,  где социально опасное положение устранено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14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108594688"/>
        <c:axId val="110806144"/>
        <c:axId val="156173568"/>
      </c:bar3DChart>
      <c:catAx>
        <c:axId val="10859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0806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806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8594688"/>
        <c:crosses val="autoZero"/>
        <c:crossBetween val="between"/>
      </c:valAx>
      <c:serAx>
        <c:axId val="156173568"/>
        <c:scaling>
          <c:orientation val="minMax"/>
        </c:scaling>
        <c:delete val="1"/>
        <c:axPos val="b"/>
        <c:majorTickMark val="out"/>
        <c:minorTickMark val="none"/>
        <c:tickLblPos val="none"/>
        <c:crossAx val="110806144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64873384821361"/>
          <c:y val="3.6297869987916502E-2"/>
          <c:w val="0.36702460935063108"/>
          <c:h val="0.6313984390022631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0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noFill/>
        <a:ln w="2540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123439859215745E-4"/>
          <c:y val="0"/>
          <c:w val="0.99437797019558605"/>
          <c:h val="0.9545115315700359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заключений органа опеки ипопечительства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</c:v>
                </c:pt>
                <c:pt idx="1">
                  <c:v>10</c:v>
                </c:pt>
                <c:pt idx="2">
                  <c:v>17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административных протоколов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</c:v>
                </c:pt>
                <c:pt idx="1">
                  <c:v>40</c:v>
                </c:pt>
                <c:pt idx="2">
                  <c:v>24</c:v>
                </c:pt>
                <c:pt idx="3">
                  <c:v>56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 рассмотрено  дел в отношении родителей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61</c:v>
                </c:pt>
                <c:pt idx="1">
                  <c:v>50</c:v>
                </c:pt>
                <c:pt idx="2">
                  <c:v>41</c:v>
                </c:pt>
                <c:pt idx="3">
                  <c:v>66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623168"/>
        <c:axId val="111852864"/>
        <c:axId val="93211136"/>
      </c:bar3DChart>
      <c:catAx>
        <c:axId val="11162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11852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852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1623168"/>
        <c:crosses val="autoZero"/>
        <c:crossBetween val="between"/>
      </c:valAx>
      <c:serAx>
        <c:axId val="93211136"/>
        <c:scaling>
          <c:orientation val="minMax"/>
        </c:scaling>
        <c:delete val="0"/>
        <c:axPos val="b"/>
        <c:majorTickMark val="out"/>
        <c:minorTickMark val="none"/>
        <c:tickLblPos val="none"/>
        <c:crossAx val="111852864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026753314457663"/>
          <c:y val="2.805437625274153E-4"/>
          <c:w val="0.49555014969941918"/>
          <c:h val="0.1970046005029306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0"/>
      <c:rotY val="2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8082360394605853E-2"/>
          <c:y val="0.11320780554604587"/>
          <c:w val="0.91017279090113656"/>
          <c:h val="0.613673011574186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несовершеннолетних в отношении которых проводилась ИПР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920634920634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5542965061378723E-3"/>
                  <c:y val="9.9206349206349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885741265344694E-3"/>
                  <c:y val="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5542965061378723E-3"/>
                  <c:y val="9.126984126984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5542965061378723E-3"/>
                  <c:y val="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6657223796033997E-3"/>
                  <c:y val="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5542965061378723E-3"/>
                  <c:y val="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18</c:v>
                </c:pt>
                <c:pt idx="2">
                  <c:v>22</c:v>
                </c:pt>
                <c:pt idx="3">
                  <c:v>17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несовершеннолетних, в отношении которых прекращена ИПР в связи  с нормализацией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885741265344694E-3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33144475920680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6657223796033997E-3"/>
                  <c:y val="7.14285714285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997167138810283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774315391879201E-2"/>
                  <c:y val="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66288951841365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6440037771482582E-2"/>
                  <c:y val="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11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641088"/>
        <c:axId val="114237440"/>
        <c:axId val="41280128"/>
      </c:bar3DChart>
      <c:catAx>
        <c:axId val="11164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4237440"/>
        <c:crosses val="autoZero"/>
        <c:auto val="1"/>
        <c:lblAlgn val="ctr"/>
        <c:lblOffset val="100"/>
        <c:noMultiLvlLbl val="0"/>
      </c:catAx>
      <c:valAx>
        <c:axId val="114237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1641088"/>
        <c:crosses val="autoZero"/>
        <c:crossBetween val="between"/>
      </c:valAx>
      <c:serAx>
        <c:axId val="41280128"/>
        <c:scaling>
          <c:orientation val="minMax"/>
        </c:scaling>
        <c:delete val="1"/>
        <c:axPos val="b"/>
        <c:majorTickMark val="out"/>
        <c:minorTickMark val="none"/>
        <c:tickLblPos val="none"/>
        <c:crossAx val="114237440"/>
        <c:crosses val="autoZero"/>
      </c:serAx>
    </c:plotArea>
    <c:legend>
      <c:legendPos val="r"/>
      <c:layout>
        <c:manualLayout>
          <c:xMode val="edge"/>
          <c:yMode val="edge"/>
          <c:x val="1.5011074835157805E-2"/>
          <c:y val="0.75041671595240567"/>
          <c:w val="0.74156071954420333"/>
          <c:h val="0.2032555906758686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 algn="ctr"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1.0678928922762654E-3"/>
          <c:w val="1"/>
          <c:h val="0.677889351107659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Преступления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13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Правонарушения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6837315130830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893081761005937E-3"/>
                  <c:y val="0.122866894197952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928721174004195E-3"/>
                  <c:y val="9.556313993174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57861635220125E-2"/>
                  <c:y val="-1.36518771331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8547584"/>
        <c:axId val="114323968"/>
        <c:axId val="0"/>
      </c:bar3DChart>
      <c:catAx>
        <c:axId val="10854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323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323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85475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5621017156620479"/>
          <c:y val="0.77809798895578519"/>
          <c:w val="0.56518568844612793"/>
          <c:h val="0.16532691302596969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r"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noFill/>
        <a:ln w="2540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1756337856538338"/>
          <c:y val="0"/>
          <c:w val="0.61129088958797173"/>
          <c:h val="0.692020392474095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заседаний комиссии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736132711249356E-3"/>
                  <c:y val="5.037783375314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472265422498704E-3"/>
                  <c:y val="4.70193115029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2208398133748073E-3"/>
                  <c:y val="5.037783375314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472265422498704E-3"/>
                  <c:y val="5.037783375314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472265422498704E-3"/>
                  <c:y val="6.0453400503778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33</c:v>
                </c:pt>
                <c:pt idx="1">
                  <c:v>27</c:v>
                </c:pt>
                <c:pt idx="2">
                  <c:v>24</c:v>
                </c:pt>
                <c:pt idx="3">
                  <c:v>30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принятых постановлений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07902071071854E-17"/>
                  <c:y val="6.3811922753988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944530844997026E-3"/>
                  <c:y val="7.7246011754827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72265422498704E-3"/>
                  <c:y val="8.0604534005037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7.0528967254407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736132711249356E-3"/>
                  <c:y val="0.11418975650713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182</c:v>
                </c:pt>
                <c:pt idx="1">
                  <c:v>154</c:v>
                </c:pt>
                <c:pt idx="2">
                  <c:v>153</c:v>
                </c:pt>
                <c:pt idx="3">
                  <c:v>153</c:v>
                </c:pt>
                <c:pt idx="4">
                  <c:v>272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198531594296199E-2"/>
                  <c:y val="5.2976214511647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1699424867351E-3"/>
                  <c:y val="3.64525167527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082475371285939E-3"/>
                  <c:y val="5.657491130916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025421282630886E-3"/>
                  <c:y val="8.002381312912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9785268602426129E-3"/>
                  <c:y val="2.7243036928076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90"/>
        <c:shape val="box"/>
        <c:axId val="115005952"/>
        <c:axId val="116173632"/>
        <c:axId val="93208576"/>
      </c:bar3DChart>
      <c:catAx>
        <c:axId val="11500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17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173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5005952"/>
        <c:crosses val="autoZero"/>
        <c:crossBetween val="between"/>
      </c:valAx>
      <c:serAx>
        <c:axId val="93208576"/>
        <c:scaling>
          <c:orientation val="minMax"/>
        </c:scaling>
        <c:delete val="1"/>
        <c:axPos val="b"/>
        <c:majorTickMark val="out"/>
        <c:minorTickMark val="none"/>
        <c:tickLblPos val="none"/>
        <c:crossAx val="116173632"/>
        <c:crosses val="autoZero"/>
      </c:serAx>
      <c:spPr>
        <a:noFill/>
        <a:ln w="25401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9483540018595827"/>
          <c:y val="0.83905962982458027"/>
          <c:w val="0.70920108260409664"/>
          <c:h val="0.16094052257308666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3.0301814989594435E-4"/>
          <c:w val="1"/>
          <c:h val="0.906006889206760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5404843262516761E-4"/>
                  <c:y val="0.140215169349565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17336040542114E-3"/>
                  <c:y val="0.12514399863839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871721223526406E-3"/>
                  <c:y val="0.23156521817025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289687979573579E-3"/>
                  <c:y val="0.16402133848792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6568128018874478E-4"/>
                  <c:y val="0.173373887830808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0351822858136834E-2"/>
                  <c:y val="-7.4709787150732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060597287458013E-2"/>
                  <c:y val="-7.6016203831164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79151444966198E-3"/>
                  <c:y val="-7.8297588238533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541158588849886E-3"/>
                  <c:y val="-6.8196578137522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8195134896960251E-3"/>
                  <c:y val="-8.4323061015974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7567448481120458E-4"/>
                  <c:y val="-7.6503435322332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2869679388771436E-3"/>
                  <c:y val="-6.6402425221322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323042892497679E-2"/>
                  <c:y val="-8.4810797251742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</c:v>
                </c:pt>
                <c:pt idx="1">
                  <c:v>21</c:v>
                </c:pt>
                <c:pt idx="2">
                  <c:v>17</c:v>
                </c:pt>
                <c:pt idx="3">
                  <c:v>9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6837315130830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893081761005963E-3"/>
                  <c:y val="0.12286689419795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928721174004195E-3"/>
                  <c:y val="9.556313993174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578616352201245E-2"/>
                  <c:y val="-1.365187713310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643648"/>
        <c:axId val="13355840"/>
        <c:axId val="0"/>
      </c:bar3DChart>
      <c:catAx>
        <c:axId val="11164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55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55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164364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 algn="r"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6.0833121666243311E-3"/>
          <c:w val="1"/>
          <c:h val="0.802014541529083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5404843262516778E-4"/>
                  <c:y val="0.140215169349565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17336040542114E-3"/>
                  <c:y val="0.12514399863839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2005279118044739E-3"/>
                  <c:y val="0.140108966523588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623400848478846E-3"/>
                  <c:y val="0.28917183986813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6568128018874478E-4"/>
                  <c:y val="0.173373887830808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0351822858136834E-2"/>
                  <c:y val="-7.4709787150732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060597287458019E-2"/>
                  <c:y val="-7.6016203831164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791514449661997E-3"/>
                  <c:y val="-7.8297588238533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541158588849868E-3"/>
                  <c:y val="-6.8196578137522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8195134896960251E-3"/>
                  <c:y val="-8.4323061015974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7567448481120534E-4"/>
                  <c:y val="-7.6503435322332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2869679388771462E-3"/>
                  <c:y val="-6.6402425221322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323042892497679E-2"/>
                  <c:y val="-8.4810797251742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103</c:v>
                </c:pt>
                <c:pt idx="1">
                  <c:v>35</c:v>
                </c:pt>
                <c:pt idx="2">
                  <c:v>89</c:v>
                </c:pt>
                <c:pt idx="3">
                  <c:v>97</c:v>
                </c:pt>
                <c:pt idx="4">
                  <c:v>113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6837315130830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89308176100598E-3"/>
                  <c:y val="0.12286689419795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928721174004195E-3"/>
                  <c:y val="9.556313993174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578616352201236E-2"/>
                  <c:y val="-1.365187713310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667968"/>
        <c:axId val="116172480"/>
        <c:axId val="0"/>
      </c:bar3DChart>
      <c:catAx>
        <c:axId val="11566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17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172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566796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 algn="r"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0.14418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439535" cy="52093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84B7-59FE-49CA-BF5F-BDFD7E0E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11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171</cp:revision>
  <cp:lastPrinted>2020-09-30T10:45:00Z</cp:lastPrinted>
  <dcterms:created xsi:type="dcterms:W3CDTF">2016-05-31T12:24:00Z</dcterms:created>
  <dcterms:modified xsi:type="dcterms:W3CDTF">2020-09-30T10:47:00Z</dcterms:modified>
</cp:coreProperties>
</file>